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23E5A">
      <w:pPr>
        <w:widowControl/>
        <w:jc w:val="center"/>
        <w:rPr>
          <w:b/>
          <w:sz w:val="44"/>
          <w:szCs w:val="44"/>
        </w:rPr>
      </w:pPr>
      <w:r>
        <w:rPr>
          <w:rFonts w:hint="eastAsia"/>
          <w:b/>
          <w:sz w:val="44"/>
          <w:szCs w:val="44"/>
        </w:rPr>
        <w:t>公交车车身广告位租赁合同</w:t>
      </w:r>
    </w:p>
    <w:p w14:paraId="58FACBF0">
      <w:pPr>
        <w:ind w:firstLine="883" w:firstLineChars="200"/>
        <w:jc w:val="center"/>
        <w:rPr>
          <w:b/>
          <w:sz w:val="44"/>
          <w:szCs w:val="44"/>
        </w:rPr>
      </w:pPr>
    </w:p>
    <w:p w14:paraId="0F21DEEF">
      <w:pPr>
        <w:ind w:firstLine="643" w:firstLineChars="200"/>
        <w:rPr>
          <w:rFonts w:ascii="仿宋_GB2312" w:hAnsi="仿宋" w:eastAsia="仿宋_GB2312"/>
          <w:b/>
          <w:sz w:val="32"/>
          <w:szCs w:val="32"/>
        </w:rPr>
      </w:pPr>
      <w:r>
        <w:rPr>
          <w:rFonts w:hint="eastAsia" w:ascii="仿宋_GB2312" w:hAnsi="仿宋" w:eastAsia="仿宋_GB2312"/>
          <w:b/>
          <w:sz w:val="32"/>
          <w:szCs w:val="32"/>
        </w:rPr>
        <w:t>甲方：雅安市公共交通</w:t>
      </w:r>
      <w:r>
        <w:rPr>
          <w:rFonts w:hint="eastAsia" w:ascii="仿宋_GB2312" w:hAnsi="仿宋" w:eastAsia="仿宋_GB2312"/>
          <w:b/>
          <w:sz w:val="32"/>
          <w:szCs w:val="32"/>
          <w:lang w:eastAsia="zh-CN"/>
        </w:rPr>
        <w:t>集团</w:t>
      </w:r>
      <w:r>
        <w:rPr>
          <w:rFonts w:hint="eastAsia" w:ascii="仿宋_GB2312" w:hAnsi="仿宋" w:eastAsia="仿宋_GB2312"/>
          <w:b/>
          <w:sz w:val="32"/>
          <w:szCs w:val="32"/>
        </w:rPr>
        <w:t>有限公司</w:t>
      </w:r>
    </w:p>
    <w:p w14:paraId="4CCC2403">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法定代表人：</w:t>
      </w:r>
      <w:r>
        <w:rPr>
          <w:rFonts w:hint="eastAsia" w:ascii="仿宋_GB2312" w:hAnsi="仿宋" w:eastAsia="仿宋_GB2312"/>
          <w:sz w:val="32"/>
          <w:szCs w:val="32"/>
          <w:lang w:eastAsia="zh-CN"/>
        </w:rPr>
        <w:t>彭清翔</w:t>
      </w:r>
    </w:p>
    <w:p w14:paraId="78DB93B8">
      <w:pPr>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住址：雅安市雨城区</w:t>
      </w:r>
      <w:r>
        <w:rPr>
          <w:rFonts w:hint="eastAsia" w:ascii="仿宋_GB2312" w:hAnsi="仿宋" w:eastAsia="仿宋_GB2312"/>
          <w:sz w:val="32"/>
          <w:szCs w:val="32"/>
          <w:lang w:eastAsia="zh-CN"/>
        </w:rPr>
        <w:t>爱国路北段</w:t>
      </w:r>
      <w:r>
        <w:rPr>
          <w:rFonts w:hint="eastAsia" w:ascii="仿宋_GB2312" w:hAnsi="仿宋" w:eastAsia="仿宋_GB2312"/>
          <w:sz w:val="32"/>
          <w:szCs w:val="32"/>
          <w:lang w:val="en-US" w:eastAsia="zh-CN"/>
        </w:rPr>
        <w:t>1号</w:t>
      </w:r>
    </w:p>
    <w:p w14:paraId="648A4048">
      <w:pPr>
        <w:ind w:firstLine="643" w:firstLineChars="200"/>
        <w:rPr>
          <w:rFonts w:hint="eastAsia" w:ascii="仿宋_GB2312" w:hAnsi="仿宋" w:eastAsia="仿宋_GB2312"/>
          <w:b/>
          <w:sz w:val="32"/>
          <w:szCs w:val="32"/>
        </w:rPr>
      </w:pPr>
    </w:p>
    <w:p w14:paraId="5333F571">
      <w:pPr>
        <w:ind w:firstLine="643" w:firstLineChars="200"/>
        <w:rPr>
          <w:rFonts w:hint="eastAsia" w:ascii="仿宋_GB2312" w:hAnsi="仿宋" w:eastAsia="仿宋_GB2312"/>
          <w:b/>
          <w:sz w:val="32"/>
          <w:szCs w:val="32"/>
          <w:lang w:eastAsia="zh-CN"/>
        </w:rPr>
      </w:pPr>
      <w:r>
        <w:rPr>
          <w:rFonts w:hint="eastAsia" w:ascii="仿宋_GB2312" w:hAnsi="仿宋" w:eastAsia="仿宋_GB2312"/>
          <w:b/>
          <w:sz w:val="32"/>
          <w:szCs w:val="32"/>
        </w:rPr>
        <w:t>乙方：</w:t>
      </w:r>
    </w:p>
    <w:p w14:paraId="1F147B20">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法定代表人：</w:t>
      </w:r>
    </w:p>
    <w:p w14:paraId="04199CCC">
      <w:pPr>
        <w:ind w:firstLine="640" w:firstLineChars="200"/>
        <w:rPr>
          <w:rFonts w:ascii="仿宋_GB2312" w:hAnsi="仿宋" w:eastAsia="仿宋_GB2312"/>
          <w:sz w:val="32"/>
          <w:szCs w:val="32"/>
        </w:rPr>
      </w:pPr>
      <w:r>
        <w:rPr>
          <w:rFonts w:hint="eastAsia" w:ascii="仿宋_GB2312" w:hAnsi="仿宋" w:eastAsia="仿宋_GB2312"/>
          <w:sz w:val="32"/>
          <w:szCs w:val="32"/>
        </w:rPr>
        <w:t>住址：</w:t>
      </w:r>
    </w:p>
    <w:p w14:paraId="5E25A2C7">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参照《中华人民共和国</w:t>
      </w:r>
      <w:r>
        <w:rPr>
          <w:rFonts w:hint="eastAsia" w:ascii="仿宋" w:hAnsi="仿宋" w:eastAsia="仿宋" w:cs="仿宋"/>
          <w:sz w:val="32"/>
          <w:szCs w:val="32"/>
          <w:lang w:eastAsia="zh-CN"/>
        </w:rPr>
        <w:t>民</w:t>
      </w:r>
      <w:r>
        <w:rPr>
          <w:rFonts w:hint="eastAsia" w:ascii="仿宋" w:hAnsi="仿宋" w:eastAsia="仿宋" w:cs="仿宋"/>
          <w:sz w:val="32"/>
          <w:szCs w:val="32"/>
        </w:rPr>
        <w:t>法</w:t>
      </w:r>
      <w:r>
        <w:rPr>
          <w:rFonts w:hint="eastAsia" w:ascii="仿宋" w:hAnsi="仿宋" w:eastAsia="仿宋" w:cs="仿宋"/>
          <w:sz w:val="32"/>
          <w:szCs w:val="32"/>
          <w:lang w:eastAsia="zh-CN"/>
        </w:rPr>
        <w:t>典</w:t>
      </w:r>
      <w:r>
        <w:rPr>
          <w:rFonts w:hint="eastAsia" w:ascii="仿宋" w:hAnsi="仿宋" w:eastAsia="仿宋" w:cs="仿宋"/>
          <w:sz w:val="32"/>
          <w:szCs w:val="32"/>
        </w:rPr>
        <w:t>》及</w:t>
      </w:r>
      <w:r>
        <w:rPr>
          <w:rFonts w:hint="eastAsia" w:ascii="仿宋" w:hAnsi="仿宋" w:eastAsia="仿宋" w:cs="仿宋"/>
          <w:b/>
          <w:sz w:val="32"/>
          <w:szCs w:val="32"/>
          <w:u w:val="single"/>
        </w:rPr>
        <w:t>雅安市公共交通</w:t>
      </w:r>
      <w:r>
        <w:rPr>
          <w:rFonts w:hint="eastAsia" w:ascii="仿宋" w:hAnsi="仿宋" w:eastAsia="仿宋" w:cs="仿宋"/>
          <w:b/>
          <w:sz w:val="32"/>
          <w:szCs w:val="32"/>
          <w:u w:val="single"/>
          <w:lang w:eastAsia="zh-CN"/>
        </w:rPr>
        <w:t>集团</w:t>
      </w:r>
      <w:r>
        <w:rPr>
          <w:rFonts w:hint="eastAsia" w:ascii="仿宋" w:hAnsi="仿宋" w:eastAsia="仿宋" w:cs="仿宋"/>
          <w:b/>
          <w:sz w:val="32"/>
          <w:szCs w:val="32"/>
          <w:u w:val="single"/>
        </w:rPr>
        <w:t>有限公司公交车车身广告位出租采购项目</w:t>
      </w:r>
      <w:r>
        <w:rPr>
          <w:rFonts w:hint="eastAsia" w:ascii="仿宋" w:hAnsi="仿宋" w:eastAsia="仿宋" w:cs="仿宋"/>
          <w:sz w:val="32"/>
          <w:szCs w:val="32"/>
        </w:rPr>
        <w:t>（项目编号：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1AC71E11">
      <w:pPr>
        <w:numPr>
          <w:ilvl w:val="0"/>
          <w:numId w:val="2"/>
        </w:numPr>
        <w:rPr>
          <w:rFonts w:hint="eastAsia" w:ascii="仿宋" w:hAnsi="仿宋" w:eastAsia="仿宋" w:cs="仿宋"/>
          <w:sz w:val="32"/>
          <w:szCs w:val="32"/>
        </w:rPr>
      </w:pPr>
      <w:r>
        <w:rPr>
          <w:rFonts w:hint="eastAsia" w:ascii="仿宋" w:hAnsi="仿宋" w:eastAsia="仿宋" w:cs="仿宋"/>
          <w:b/>
          <w:sz w:val="32"/>
          <w:szCs w:val="32"/>
        </w:rPr>
        <w:t>租赁期限及车辆数：</w:t>
      </w:r>
    </w:p>
    <w:p w14:paraId="3D425B51">
      <w:pPr>
        <w:numPr>
          <w:ilvl w:val="-1"/>
          <w:numId w:val="0"/>
        </w:numPr>
        <w:ind w:left="748" w:leftChars="356" w:firstLine="0" w:firstLineChars="0"/>
        <w:jc w:val="left"/>
        <w:rPr>
          <w:rFonts w:hint="default" w:ascii="仿宋" w:hAnsi="仿宋" w:eastAsia="仿宋" w:cs="仿宋"/>
          <w:sz w:val="32"/>
          <w:szCs w:val="32"/>
          <w:lang w:val="en-US" w:eastAsia="zh-CN"/>
        </w:rPr>
      </w:pPr>
      <w:r>
        <w:rPr>
          <w:rFonts w:hint="eastAsia" w:ascii="仿宋_GB2312" w:hAnsi="仿宋_GB2312" w:eastAsia="仿宋_GB2312" w:cs="仿宋_GB2312"/>
          <w:sz w:val="32"/>
          <w:szCs w:val="32"/>
        </w:rPr>
        <w:t>租赁期限:</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车辆数：</w:t>
      </w:r>
      <w:r>
        <w:rPr>
          <w:rFonts w:hint="eastAsia" w:ascii="仿宋_GB2312" w:hAnsi="仿宋_GB2312" w:eastAsia="仿宋_GB2312" w:cs="仿宋_GB2312"/>
          <w:sz w:val="32"/>
          <w:szCs w:val="32"/>
          <w:lang w:val="en-US" w:eastAsia="zh-CN"/>
        </w:rPr>
        <w:t>150辆</w:t>
      </w:r>
      <w:r>
        <w:rPr>
          <w:rFonts w:hint="eastAsia" w:ascii="仿宋_GB2312" w:hAnsi="仿宋_GB2312" w:eastAsia="仿宋_GB2312" w:cs="仿宋_GB2312"/>
          <w:sz w:val="32"/>
          <w:szCs w:val="32"/>
          <w:lang w:eastAsia="zh-CN"/>
        </w:rPr>
        <w:t>（各线路车辆数祥见附件）</w:t>
      </w:r>
    </w:p>
    <w:p w14:paraId="355E54F2">
      <w:pPr>
        <w:pStyle w:val="6"/>
        <w:numPr>
          <w:ilvl w:val="4"/>
          <w:numId w:val="0"/>
        </w:numPr>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lang w:eastAsia="zh-CN"/>
        </w:rPr>
        <w:t>二、</w:t>
      </w:r>
      <w:r>
        <w:rPr>
          <w:rFonts w:hint="eastAsia" w:ascii="仿宋_GB2312" w:hAnsi="仿宋" w:eastAsia="仿宋_GB2312"/>
          <w:b/>
          <w:bCs/>
          <w:sz w:val="32"/>
          <w:szCs w:val="32"/>
        </w:rPr>
        <w:t>合同期限</w:t>
      </w:r>
    </w:p>
    <w:p w14:paraId="163AF003">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合同期限：一年，</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日止202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4D7B2D6B">
      <w:pPr>
        <w:pStyle w:val="6"/>
        <w:numPr>
          <w:ilvl w:val="4"/>
          <w:numId w:val="0"/>
        </w:numPr>
        <w:ind w:firstLine="643" w:firstLineChars="200"/>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三、租赁位置：</w:t>
      </w:r>
    </w:p>
    <w:p w14:paraId="27E9E67A">
      <w:pPr>
        <w:numPr>
          <w:ilvl w:val="-1"/>
          <w:numId w:val="0"/>
        </w:numPr>
        <w:spacing w:line="240" w:lineRule="auto"/>
        <w:ind w:firstLine="640" w:firstLineChars="200"/>
        <w:jc w:val="left"/>
        <w:rPr>
          <w:rFonts w:ascii="仿宋_GB2312" w:hAnsi="仿宋" w:eastAsia="仿宋_GB2312"/>
          <w:sz w:val="32"/>
          <w:szCs w:val="32"/>
        </w:rPr>
      </w:pPr>
      <w:bookmarkStart w:id="0" w:name="OLE_LINK1"/>
      <w:r>
        <w:rPr>
          <w:rFonts w:hint="eastAsia" w:ascii="仿宋_GB2312" w:hAnsi="仿宋" w:eastAsia="仿宋_GB2312"/>
          <w:sz w:val="32"/>
          <w:szCs w:val="32"/>
        </w:rPr>
        <w:t>租赁位置为</w:t>
      </w:r>
      <w:r>
        <w:rPr>
          <w:rFonts w:ascii="仿宋_GB2312" w:hAnsi="仿宋" w:eastAsia="仿宋_GB2312"/>
          <w:sz w:val="32"/>
          <w:szCs w:val="32"/>
        </w:rPr>
        <w:t>公交车车身</w:t>
      </w:r>
      <w:r>
        <w:rPr>
          <w:rFonts w:hint="eastAsia" w:ascii="仿宋_GB2312" w:hAnsi="仿宋" w:eastAsia="仿宋_GB2312"/>
          <w:sz w:val="32"/>
          <w:szCs w:val="32"/>
          <w:lang w:eastAsia="zh-CN"/>
        </w:rPr>
        <w:t>车内</w:t>
      </w:r>
      <w:r>
        <w:rPr>
          <w:rFonts w:ascii="仿宋_GB2312" w:hAnsi="仿宋" w:eastAsia="仿宋_GB2312"/>
          <w:sz w:val="32"/>
          <w:szCs w:val="32"/>
        </w:rPr>
        <w:t>部分</w:t>
      </w:r>
    </w:p>
    <w:p w14:paraId="0A9DCF05">
      <w:pPr>
        <w:numPr>
          <w:ilvl w:val="0"/>
          <w:numId w:val="3"/>
        </w:numPr>
        <w:spacing w:line="240" w:lineRule="auto"/>
        <w:ind w:firstLine="640" w:firstLineChars="200"/>
        <w:jc w:val="left"/>
        <w:rPr>
          <w:rFonts w:ascii="仿宋_GB2312" w:hAnsi="仿宋" w:eastAsia="仿宋_GB2312"/>
          <w:sz w:val="32"/>
          <w:szCs w:val="32"/>
        </w:rPr>
      </w:pPr>
      <w:r>
        <w:rPr>
          <w:rFonts w:ascii="仿宋_GB2312" w:hAnsi="仿宋" w:eastAsia="仿宋_GB2312"/>
          <w:sz w:val="32"/>
          <w:szCs w:val="32"/>
        </w:rPr>
        <w:t>车身广告租赁位置为：（1）左、右侧窗玻璃以下部份，（2）后窗玻璃以下部份；（3）双前轮以后部份。</w:t>
      </w:r>
      <w:bookmarkEnd w:id="0"/>
    </w:p>
    <w:p w14:paraId="441DE8CE">
      <w:pPr>
        <w:numPr>
          <w:ilvl w:val="0"/>
          <w:numId w:val="0"/>
        </w:numPr>
        <w:ind w:firstLine="640" w:firstLineChars="200"/>
        <w:jc w:val="left"/>
        <w:rPr>
          <w:rFonts w:ascii="仿宋_GB2312" w:hAnsi="仿宋" w:eastAsia="仿宋_GB2312"/>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车内具体发布位置：扶手、座椅靠背后、展板</w:t>
      </w:r>
      <w:r>
        <w:rPr>
          <w:rFonts w:hint="eastAsia" w:ascii="仿宋_GB2312" w:hAnsi="仿宋_GB2312" w:eastAsia="仿宋_GB2312" w:cs="仿宋_GB2312"/>
          <w:color w:val="auto"/>
          <w:sz w:val="32"/>
          <w:szCs w:val="32"/>
          <w:lang w:eastAsia="zh-CN"/>
        </w:rPr>
        <w:t>。</w:t>
      </w:r>
    </w:p>
    <w:p w14:paraId="702B2EE0">
      <w:pPr>
        <w:numPr>
          <w:ilvl w:val="0"/>
          <w:numId w:val="2"/>
        </w:numPr>
        <w:rPr>
          <w:rFonts w:ascii="黑体" w:hAnsi="黑体" w:eastAsia="黑体"/>
          <w:b/>
          <w:sz w:val="32"/>
          <w:szCs w:val="32"/>
        </w:rPr>
      </w:pPr>
      <w:r>
        <w:rPr>
          <w:rFonts w:hint="eastAsia" w:ascii="黑体" w:hAnsi="黑体" w:eastAsia="黑体"/>
          <w:b/>
          <w:sz w:val="32"/>
          <w:szCs w:val="32"/>
        </w:rPr>
        <w:t>租赁费用</w:t>
      </w:r>
    </w:p>
    <w:p w14:paraId="2D5C1D6B">
      <w:pPr>
        <w:ind w:left="319" w:leftChars="152"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租赁费为：</w:t>
      </w:r>
      <w:r>
        <w:rPr>
          <w:rFonts w:hint="eastAsia" w:ascii="仿宋_GB2312" w:hAnsi="仿宋" w:eastAsia="仿宋_GB2312"/>
          <w:sz w:val="32"/>
          <w:szCs w:val="32"/>
          <w:lang w:val="en-US" w:eastAsia="zh-CN"/>
        </w:rPr>
        <w:t xml:space="preserve">  元/辆/年，</w:t>
      </w:r>
      <w:r>
        <w:rPr>
          <w:rFonts w:hint="eastAsia" w:ascii="仿宋_GB2312" w:hAnsi="仿宋" w:eastAsia="仿宋_GB2312"/>
          <w:sz w:val="32"/>
          <w:szCs w:val="32"/>
        </w:rPr>
        <w:t>1</w:t>
      </w:r>
      <w:r>
        <w:rPr>
          <w:rFonts w:hint="eastAsia" w:ascii="仿宋_GB2312" w:hAnsi="仿宋" w:eastAsia="仿宋_GB2312"/>
          <w:sz w:val="32"/>
          <w:szCs w:val="32"/>
          <w:lang w:val="en-US" w:eastAsia="zh-CN"/>
        </w:rPr>
        <w:t>50</w:t>
      </w:r>
      <w:r>
        <w:rPr>
          <w:rFonts w:hint="eastAsia" w:ascii="仿宋_GB2312" w:hAnsi="仿宋" w:eastAsia="仿宋_GB2312"/>
          <w:sz w:val="32"/>
          <w:szCs w:val="32"/>
        </w:rPr>
        <w:t>辆</w:t>
      </w:r>
      <w:r>
        <w:rPr>
          <w:rFonts w:hint="eastAsia" w:ascii="仿宋_GB2312" w:hAnsi="仿宋" w:eastAsia="仿宋_GB2312"/>
          <w:sz w:val="32"/>
          <w:szCs w:val="32"/>
          <w:lang w:eastAsia="zh-CN"/>
        </w:rPr>
        <w:t>车</w:t>
      </w:r>
      <w:r>
        <w:rPr>
          <w:rFonts w:hint="eastAsia" w:ascii="仿宋_GB2312" w:hAnsi="仿宋" w:eastAsia="仿宋_GB2312"/>
          <w:sz w:val="32"/>
          <w:szCs w:val="32"/>
        </w:rPr>
        <w:t>每年共计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元（大写：）。</w:t>
      </w:r>
    </w:p>
    <w:p w14:paraId="1E449A54">
      <w:pPr>
        <w:ind w:firstLine="630" w:firstLineChars="196"/>
        <w:rPr>
          <w:rFonts w:hint="eastAsia" w:ascii="黑体" w:hAnsi="黑体" w:eastAsia="黑体"/>
          <w:b/>
          <w:sz w:val="32"/>
          <w:szCs w:val="32"/>
          <w:lang w:eastAsia="zh-CN"/>
        </w:rPr>
      </w:pPr>
      <w:r>
        <w:rPr>
          <w:rFonts w:hint="eastAsia" w:ascii="黑体" w:hAnsi="黑体" w:eastAsia="黑体"/>
          <w:b/>
          <w:sz w:val="32"/>
          <w:szCs w:val="32"/>
        </w:rPr>
        <w:t>五、付款方式：</w:t>
      </w:r>
      <w:r>
        <w:rPr>
          <w:rFonts w:hint="eastAsia" w:ascii="黑体" w:hAnsi="黑体" w:eastAsia="黑体"/>
          <w:b/>
          <w:sz w:val="32"/>
          <w:szCs w:val="32"/>
          <w:lang w:eastAsia="zh-CN"/>
        </w:rPr>
        <w:t>按年度支付付款</w:t>
      </w:r>
    </w:p>
    <w:p w14:paraId="13A8697D">
      <w:pPr>
        <w:ind w:left="319" w:leftChars="152" w:firstLine="320" w:firstLineChars="100"/>
        <w:jc w:val="left"/>
        <w:rPr>
          <w:rFonts w:hint="eastAsia" w:ascii="仿宋_GB2312" w:hAnsi="仿宋" w:eastAsia="仿宋_GB2312"/>
          <w:sz w:val="32"/>
          <w:szCs w:val="32"/>
        </w:rPr>
      </w:pPr>
      <w:bookmarkStart w:id="1" w:name="OLE_LINK2"/>
      <w:r>
        <w:rPr>
          <w:rFonts w:hint="eastAsia" w:ascii="仿宋" w:hAnsi="仿宋" w:eastAsia="仿宋" w:cs="仿宋"/>
          <w:sz w:val="32"/>
          <w:szCs w:val="32"/>
        </w:rPr>
        <w:t>乙方在合同签订后</w:t>
      </w:r>
      <w:r>
        <w:rPr>
          <w:rFonts w:hint="eastAsia" w:ascii="仿宋" w:hAnsi="仿宋" w:eastAsia="仿宋" w:cs="仿宋"/>
          <w:sz w:val="32"/>
          <w:szCs w:val="32"/>
          <w:lang w:val="en-US" w:eastAsia="zh-CN"/>
        </w:rPr>
        <w:t>30</w:t>
      </w:r>
      <w:r>
        <w:rPr>
          <w:rFonts w:hint="eastAsia" w:ascii="仿宋" w:hAnsi="仿宋" w:eastAsia="仿宋" w:cs="仿宋"/>
          <w:sz w:val="32"/>
          <w:szCs w:val="32"/>
        </w:rPr>
        <w:t>个日历天内向甲方</w:t>
      </w:r>
      <w:r>
        <w:rPr>
          <w:rFonts w:hint="eastAsia" w:ascii="仿宋" w:hAnsi="仿宋" w:eastAsia="仿宋" w:cs="仿宋"/>
          <w:sz w:val="32"/>
          <w:szCs w:val="32"/>
          <w:lang w:eastAsia="zh-CN"/>
        </w:rPr>
        <w:t>支付</w:t>
      </w:r>
      <w:r>
        <w:rPr>
          <w:rFonts w:hint="eastAsia" w:ascii="仿宋" w:hAnsi="仿宋" w:eastAsia="仿宋" w:cs="仿宋"/>
          <w:sz w:val="32"/>
          <w:szCs w:val="32"/>
        </w:rPr>
        <w:t>合同总价的</w:t>
      </w:r>
      <w:r>
        <w:rPr>
          <w:rFonts w:hint="eastAsia" w:ascii="仿宋" w:hAnsi="仿宋" w:eastAsia="仿宋" w:cs="仿宋"/>
          <w:sz w:val="32"/>
          <w:szCs w:val="32"/>
          <w:lang w:val="en-US" w:eastAsia="zh-CN"/>
        </w:rPr>
        <w:t>100</w:t>
      </w:r>
      <w:r>
        <w:rPr>
          <w:rFonts w:hint="eastAsia" w:ascii="仿宋" w:hAnsi="仿宋" w:eastAsia="仿宋" w:cs="仿宋"/>
          <w:sz w:val="32"/>
          <w:szCs w:val="32"/>
        </w:rPr>
        <w:t>%，即</w:t>
      </w:r>
      <w:r>
        <w:rPr>
          <w:rFonts w:hint="eastAsia" w:ascii="仿宋" w:hAnsi="仿宋" w:eastAsia="仿宋" w:cs="仿宋"/>
          <w:sz w:val="32"/>
          <w:szCs w:val="32"/>
          <w:lang w:val="en-US" w:eastAsia="zh-CN"/>
        </w:rPr>
        <w:t xml:space="preserve">         </w:t>
      </w:r>
      <w:r>
        <w:rPr>
          <w:rFonts w:hint="eastAsia" w:ascii="仿宋_GB2312" w:hAnsi="仿宋" w:eastAsia="仿宋_GB2312"/>
          <w:sz w:val="32"/>
          <w:szCs w:val="32"/>
        </w:rPr>
        <w:t>元（大写：</w:t>
      </w:r>
      <w:r>
        <w:rPr>
          <w:rFonts w:hint="eastAsia" w:ascii="仿宋_GB2312" w:hAnsi="仿宋" w:eastAsia="仿宋_GB2312"/>
          <w:sz w:val="32"/>
          <w:szCs w:val="32"/>
          <w:lang w:eastAsia="zh-CN"/>
        </w:rPr>
        <w:t>整</w:t>
      </w:r>
      <w:r>
        <w:rPr>
          <w:rFonts w:hint="eastAsia" w:ascii="仿宋_GB2312" w:hAnsi="仿宋" w:eastAsia="仿宋_GB2312"/>
          <w:sz w:val="32"/>
          <w:szCs w:val="32"/>
        </w:rPr>
        <w:t>）。</w:t>
      </w:r>
    </w:p>
    <w:bookmarkEnd w:id="1"/>
    <w:p w14:paraId="26948D94">
      <w:pPr>
        <w:ind w:left="567"/>
        <w:rPr>
          <w:rFonts w:ascii="黑体" w:hAnsi="黑体" w:eastAsia="黑体"/>
          <w:b/>
          <w:sz w:val="32"/>
          <w:szCs w:val="32"/>
        </w:rPr>
      </w:pPr>
      <w:r>
        <w:rPr>
          <w:rFonts w:hint="eastAsia" w:ascii="黑体" w:hAnsi="黑体" w:eastAsia="黑体"/>
          <w:b/>
          <w:sz w:val="32"/>
          <w:szCs w:val="32"/>
        </w:rPr>
        <w:t>六、广告制作及考评要求：</w:t>
      </w:r>
    </w:p>
    <w:p w14:paraId="7B1CFB8D">
      <w:pPr>
        <w:ind w:firstLine="640" w:firstLineChars="200"/>
        <w:jc w:val="lef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乙方广告制作须采用直接车身表面绘制并确保广告制作质量。未达甲方广告效果要求，影响了公交车的外观形象，且不能改进提升的情况下，甲方有权终止本合同</w:t>
      </w:r>
      <w:r>
        <w:rPr>
          <w:rFonts w:hint="eastAsia" w:ascii="仿宋_GB2312" w:hAnsi="仿宋" w:eastAsia="仿宋_GB2312"/>
          <w:sz w:val="32"/>
          <w:szCs w:val="32"/>
          <w:lang w:eastAsia="zh-CN"/>
        </w:rPr>
        <w:t>；</w:t>
      </w:r>
    </w:p>
    <w:p w14:paraId="7B6C7D56">
      <w:pPr>
        <w:ind w:firstLine="640" w:firstLineChars="200"/>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车身广告内容必须文明健康，车身广告形式力求丰富多彩，有助提升雅安的城市形象和提升城市公交车的自身形象。因此，车身广告正式制作前，乙方必须办理广告发布的许可手续。否则产生的一切法律后果由乙方承担</w:t>
      </w:r>
      <w:r>
        <w:rPr>
          <w:rFonts w:hint="eastAsia" w:ascii="仿宋_GB2312" w:hAnsi="仿宋" w:eastAsia="仿宋_GB2312"/>
          <w:sz w:val="32"/>
          <w:szCs w:val="32"/>
          <w:lang w:eastAsia="zh-CN"/>
        </w:rPr>
        <w:t>；</w:t>
      </w:r>
    </w:p>
    <w:p w14:paraId="7FD4E5B5">
      <w:pPr>
        <w:ind w:firstLine="640" w:firstLineChars="200"/>
        <w:jc w:val="left"/>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乙方广告设计如使用人物肖像及获专利的图案等，须保证使用的合法性，否则，产生法律后果由乙方承担。甲方因此受到损失的，有权向乙方追偿</w:t>
      </w:r>
      <w:r>
        <w:rPr>
          <w:rFonts w:hint="eastAsia" w:ascii="仿宋_GB2312" w:hAnsi="仿宋" w:eastAsia="仿宋_GB2312"/>
          <w:sz w:val="32"/>
          <w:szCs w:val="32"/>
          <w:lang w:eastAsia="zh-CN"/>
        </w:rPr>
        <w:t>；</w:t>
      </w:r>
    </w:p>
    <w:p w14:paraId="5F0BD755">
      <w:pPr>
        <w:ind w:firstLine="640" w:firstLineChars="200"/>
        <w:jc w:val="left"/>
        <w:rPr>
          <w:rFonts w:ascii="仿宋_GB2312" w:hAnsi="仿宋" w:eastAsia="仿宋_GB2312"/>
          <w:sz w:val="32"/>
          <w:szCs w:val="32"/>
        </w:rPr>
      </w:pPr>
      <w:bookmarkStart w:id="2" w:name="OLE_LINK3"/>
      <w:r>
        <w:rPr>
          <w:rFonts w:ascii="仿宋_GB2312" w:hAnsi="仿宋" w:eastAsia="仿宋_GB2312"/>
          <w:sz w:val="32"/>
          <w:szCs w:val="32"/>
        </w:rPr>
        <w:t>4、</w:t>
      </w:r>
      <w:r>
        <w:rPr>
          <w:rFonts w:hint="eastAsia" w:ascii="仿宋_GB2312" w:hAnsi="仿宋" w:eastAsia="仿宋_GB2312"/>
          <w:sz w:val="32"/>
          <w:szCs w:val="32"/>
        </w:rPr>
        <w:t>在合同期内，甲方保证1</w:t>
      </w:r>
      <w:r>
        <w:rPr>
          <w:rFonts w:hint="eastAsia" w:ascii="仿宋_GB2312" w:hAnsi="仿宋" w:eastAsia="仿宋_GB2312"/>
          <w:sz w:val="32"/>
          <w:szCs w:val="32"/>
          <w:lang w:val="en-US" w:eastAsia="zh-CN"/>
        </w:rPr>
        <w:t>50</w:t>
      </w:r>
      <w:r>
        <w:rPr>
          <w:rFonts w:ascii="仿宋_GB2312" w:hAnsi="仿宋" w:eastAsia="仿宋_GB2312"/>
          <w:sz w:val="32"/>
          <w:szCs w:val="32"/>
        </w:rPr>
        <w:t>辆公交车在规定的线路上按时如期运行，并确保车身整洁</w:t>
      </w:r>
      <w:r>
        <w:rPr>
          <w:rFonts w:hint="eastAsia" w:ascii="仿宋_GB2312" w:hAnsi="仿宋" w:eastAsia="仿宋_GB2312"/>
          <w:sz w:val="32"/>
          <w:szCs w:val="32"/>
          <w:lang w:eastAsia="zh-CN"/>
        </w:rPr>
        <w:t>；</w:t>
      </w:r>
    </w:p>
    <w:p w14:paraId="3958B7C1">
      <w:pPr>
        <w:ind w:firstLine="640" w:firstLineChars="200"/>
        <w:jc w:val="left"/>
        <w:rPr>
          <w:rFonts w:hint="eastAsia"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乙方负责车身广告发布所需要办理的其他各项手续费用，因手续不齐，费用未缴，制作和发布广告不符合法规造成的有关损失（包括部门处罚）及责任，概由乙方承担。甲方因此受到损失的，有权向乙方追偿</w:t>
      </w:r>
      <w:r>
        <w:rPr>
          <w:rFonts w:hint="eastAsia" w:ascii="仿宋_GB2312" w:hAnsi="仿宋" w:eastAsia="仿宋_GB2312"/>
          <w:sz w:val="32"/>
          <w:szCs w:val="32"/>
          <w:lang w:eastAsia="zh-CN"/>
        </w:rPr>
        <w:t>；</w:t>
      </w:r>
    </w:p>
    <w:p w14:paraId="3AC9A77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6、乙方应按合同约定及时缴纳租赁费；</w:t>
      </w:r>
    </w:p>
    <w:p w14:paraId="3B1398A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7、涉及政府部门要求必须使用的公益性广告，乙方须无条件的配合甲方并按要求及时使用。公益性广告占用的车辆数、时间、费用由双方协商解决；</w:t>
      </w:r>
    </w:p>
    <w:p w14:paraId="509860B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8、乙方所使用的车身广告有破损的应及时修补或更换，确保车辆整洁</w:t>
      </w:r>
      <w:r>
        <w:rPr>
          <w:rFonts w:hint="eastAsia" w:ascii="仿宋" w:hAnsi="仿宋" w:eastAsia="仿宋" w:cs="仿宋"/>
          <w:sz w:val="32"/>
          <w:szCs w:val="32"/>
          <w:lang w:eastAsia="zh-CN"/>
        </w:rPr>
        <w:t>。</w:t>
      </w:r>
    </w:p>
    <w:p w14:paraId="13B7BC26">
      <w:pPr>
        <w:ind w:firstLine="643" w:firstLineChars="200"/>
        <w:jc w:val="left"/>
        <w:rPr>
          <w:rFonts w:ascii="黑体" w:hAnsi="黑体" w:eastAsia="黑体"/>
          <w:b/>
          <w:sz w:val="32"/>
          <w:szCs w:val="32"/>
        </w:rPr>
      </w:pPr>
      <w:r>
        <w:rPr>
          <w:rFonts w:hint="eastAsia" w:ascii="黑体" w:hAnsi="黑体" w:eastAsia="黑体"/>
          <w:b/>
          <w:sz w:val="32"/>
          <w:szCs w:val="32"/>
        </w:rPr>
        <w:t>七、广告制作时间：</w:t>
      </w:r>
    </w:p>
    <w:p w14:paraId="3FEDB620">
      <w:pPr>
        <w:ind w:firstLine="640" w:firstLineChars="200"/>
        <w:jc w:val="left"/>
        <w:rPr>
          <w:rFonts w:hint="default" w:ascii="仿宋_GB2312" w:hAnsi="仿宋" w:eastAsia="仿宋_GB2312"/>
          <w:sz w:val="32"/>
          <w:szCs w:val="32"/>
          <w:lang w:val="en-US" w:eastAsia="zh-CN"/>
        </w:rPr>
      </w:pPr>
      <w:r>
        <w:rPr>
          <w:rFonts w:hint="eastAsia" w:ascii="仿宋_GB2312" w:hAnsi="仿宋" w:eastAsia="仿宋_GB2312"/>
          <w:sz w:val="32"/>
          <w:szCs w:val="32"/>
        </w:rPr>
        <w:t>由乙方提前向甲方申请并确定具体制作时间，</w:t>
      </w:r>
      <w:r>
        <w:rPr>
          <w:rFonts w:hint="eastAsia" w:ascii="仿宋_GB2312" w:hAnsi="仿宋" w:eastAsia="仿宋_GB2312"/>
          <w:sz w:val="32"/>
          <w:szCs w:val="32"/>
          <w:lang w:eastAsia="zh-CN"/>
        </w:rPr>
        <w:t>每年</w:t>
      </w:r>
      <w:r>
        <w:rPr>
          <w:rFonts w:hint="eastAsia" w:ascii="仿宋_GB2312" w:hAnsi="仿宋" w:eastAsia="仿宋_GB2312"/>
          <w:sz w:val="32"/>
          <w:szCs w:val="32"/>
        </w:rPr>
        <w:t>每辆车</w:t>
      </w:r>
      <w:r>
        <w:rPr>
          <w:rFonts w:hint="eastAsia" w:ascii="仿宋_GB2312" w:hAnsi="仿宋" w:eastAsia="仿宋_GB2312"/>
          <w:sz w:val="32"/>
          <w:szCs w:val="32"/>
          <w:lang w:eastAsia="zh-CN"/>
        </w:rPr>
        <w:t>给予一次</w:t>
      </w:r>
      <w:r>
        <w:rPr>
          <w:rFonts w:hint="eastAsia" w:ascii="仿宋_GB2312" w:hAnsi="仿宋" w:eastAsia="仿宋_GB2312"/>
          <w:sz w:val="32"/>
          <w:szCs w:val="32"/>
        </w:rPr>
        <w:t>制作时间</w:t>
      </w:r>
      <w:r>
        <w:rPr>
          <w:rFonts w:hint="eastAsia" w:ascii="仿宋_GB2312" w:hAnsi="仿宋" w:eastAsia="仿宋_GB2312"/>
          <w:sz w:val="32"/>
          <w:szCs w:val="32"/>
          <w:lang w:eastAsia="zh-CN"/>
        </w:rPr>
        <w:t>，制作时</w:t>
      </w:r>
      <w:r>
        <w:rPr>
          <w:rFonts w:hint="eastAsia" w:ascii="仿宋_GB2312" w:hAnsi="仿宋" w:eastAsia="仿宋_GB2312"/>
          <w:sz w:val="32"/>
          <w:szCs w:val="32"/>
        </w:rPr>
        <w:t>不超过</w:t>
      </w:r>
      <w:r>
        <w:rPr>
          <w:rFonts w:hint="eastAsia" w:ascii="仿宋_GB2312" w:hAnsi="仿宋" w:eastAsia="仿宋_GB2312"/>
          <w:sz w:val="32"/>
          <w:szCs w:val="32"/>
          <w:lang w:val="en-US" w:eastAsia="zh-CN"/>
        </w:rPr>
        <w:t>6小时</w:t>
      </w:r>
      <w:r>
        <w:rPr>
          <w:rFonts w:ascii="仿宋_GB2312" w:hAnsi="仿宋" w:eastAsia="仿宋_GB2312"/>
          <w:sz w:val="32"/>
          <w:szCs w:val="32"/>
        </w:rPr>
        <w:t>。</w:t>
      </w:r>
      <w:r>
        <w:rPr>
          <w:rFonts w:hint="eastAsia" w:ascii="仿宋_GB2312" w:hAnsi="仿宋" w:eastAsia="仿宋_GB2312"/>
          <w:sz w:val="32"/>
          <w:szCs w:val="32"/>
          <w:lang w:eastAsia="zh-CN"/>
        </w:rPr>
        <w:t>每超过一次乙方需补贴甲方</w:t>
      </w:r>
      <w:r>
        <w:rPr>
          <w:rFonts w:hint="eastAsia" w:ascii="仿宋_GB2312" w:hAnsi="仿宋" w:eastAsia="仿宋_GB2312"/>
          <w:sz w:val="32"/>
          <w:szCs w:val="32"/>
          <w:lang w:val="en-US" w:eastAsia="zh-CN"/>
        </w:rPr>
        <w:t>500元/辆车辆停驶费用。</w:t>
      </w:r>
    </w:p>
    <w:p w14:paraId="6F021186">
      <w:pPr>
        <w:ind w:firstLine="581" w:firstLineChars="181"/>
        <w:jc w:val="left"/>
        <w:rPr>
          <w:rFonts w:ascii="黑体" w:hAnsi="黑体" w:eastAsia="黑体"/>
          <w:b/>
          <w:sz w:val="32"/>
          <w:szCs w:val="32"/>
        </w:rPr>
      </w:pPr>
      <w:r>
        <w:rPr>
          <w:rFonts w:hint="eastAsia" w:ascii="黑体" w:hAnsi="黑体" w:eastAsia="黑体"/>
          <w:b/>
          <w:sz w:val="32"/>
          <w:szCs w:val="32"/>
        </w:rPr>
        <w:t>八、甲乙方权利义务</w:t>
      </w:r>
    </w:p>
    <w:p w14:paraId="06016098">
      <w:pPr>
        <w:ind w:firstLine="640" w:firstLineChars="200"/>
        <w:jc w:val="left"/>
        <w:rPr>
          <w:rFonts w:ascii="仿宋_GB2312" w:eastAsia="仿宋_GB2312"/>
          <w:sz w:val="32"/>
          <w:szCs w:val="32"/>
        </w:rPr>
      </w:pPr>
      <w:r>
        <w:rPr>
          <w:rFonts w:hint="eastAsia" w:ascii="仿宋_GB2312" w:eastAsia="仿宋_GB2312"/>
          <w:sz w:val="32"/>
          <w:szCs w:val="32"/>
        </w:rPr>
        <w:t>1、乙方按照甲方要求，充分、合理利用广告位，不能随意改变广告位置；</w:t>
      </w:r>
    </w:p>
    <w:p w14:paraId="72ACEA8F">
      <w:pPr>
        <w:ind w:firstLine="640" w:firstLineChars="200"/>
        <w:jc w:val="left"/>
        <w:rPr>
          <w:rFonts w:ascii="仿宋_GB2312" w:eastAsia="仿宋_GB2312"/>
          <w:sz w:val="32"/>
          <w:szCs w:val="32"/>
        </w:rPr>
      </w:pPr>
      <w:r>
        <w:rPr>
          <w:rFonts w:hint="eastAsia" w:ascii="仿宋_GB2312" w:eastAsia="仿宋_GB2312"/>
          <w:sz w:val="32"/>
          <w:szCs w:val="32"/>
        </w:rPr>
        <w:t>2、未经甲方同意，乙方不得擅自将广告位整体或部分转租给其他第三方；</w:t>
      </w:r>
    </w:p>
    <w:p w14:paraId="7177F3C5">
      <w:pPr>
        <w:ind w:firstLine="640" w:firstLineChars="200"/>
        <w:jc w:val="left"/>
        <w:rPr>
          <w:rFonts w:ascii="仿宋_GB2312" w:eastAsia="仿宋_GB2312"/>
          <w:sz w:val="32"/>
          <w:szCs w:val="32"/>
        </w:rPr>
      </w:pPr>
      <w:r>
        <w:rPr>
          <w:rFonts w:hint="eastAsia" w:ascii="仿宋_GB2312" w:eastAsia="仿宋_GB2312"/>
          <w:sz w:val="32"/>
          <w:szCs w:val="32"/>
        </w:rPr>
        <w:t>3、未经甲方同意，乙方不得将租赁的广告位用作任何形式的抵押、质押给第三人；</w:t>
      </w:r>
    </w:p>
    <w:p w14:paraId="7161CB72">
      <w:pPr>
        <w:ind w:firstLine="640" w:firstLineChars="200"/>
        <w:jc w:val="left"/>
        <w:rPr>
          <w:rFonts w:ascii="仿宋_GB2312" w:eastAsia="仿宋_GB2312"/>
          <w:sz w:val="32"/>
          <w:szCs w:val="32"/>
        </w:rPr>
      </w:pPr>
      <w:r>
        <w:rPr>
          <w:rFonts w:hint="eastAsia" w:ascii="仿宋_GB2312" w:eastAsia="仿宋_GB2312"/>
          <w:sz w:val="32"/>
          <w:szCs w:val="32"/>
        </w:rPr>
        <w:t>4、广告位租赁涉及的税费由双方按国家有关政策规定各自承担；</w:t>
      </w:r>
    </w:p>
    <w:p w14:paraId="2F646B0B">
      <w:pPr>
        <w:ind w:firstLine="640" w:firstLineChars="200"/>
        <w:jc w:val="left"/>
        <w:rPr>
          <w:rFonts w:ascii="仿宋_GB2312" w:eastAsia="仿宋_GB2312"/>
          <w:sz w:val="32"/>
          <w:szCs w:val="32"/>
        </w:rPr>
      </w:pPr>
      <w:r>
        <w:rPr>
          <w:rFonts w:hint="eastAsia" w:ascii="仿宋_GB2312" w:eastAsia="仿宋_GB2312"/>
          <w:sz w:val="32"/>
          <w:szCs w:val="32"/>
        </w:rPr>
        <w:t>5、甲方有权对乙方使用广告位的情况进行监督；</w:t>
      </w:r>
    </w:p>
    <w:p w14:paraId="3001C367">
      <w:pPr>
        <w:ind w:firstLine="640" w:firstLineChars="200"/>
        <w:jc w:val="left"/>
        <w:rPr>
          <w:rFonts w:ascii="仿宋_GB2312" w:eastAsia="仿宋_GB2312"/>
          <w:sz w:val="32"/>
          <w:szCs w:val="32"/>
        </w:rPr>
      </w:pPr>
      <w:r>
        <w:rPr>
          <w:rFonts w:hint="eastAsia" w:ascii="仿宋_GB2312" w:eastAsia="仿宋_GB2312"/>
          <w:sz w:val="32"/>
          <w:szCs w:val="32"/>
        </w:rPr>
        <w:t>6、车身广告内容必须文明健康，有助提升雅安的城市形象和提升城市公交车的自身形象</w:t>
      </w:r>
      <w:r>
        <w:rPr>
          <w:rFonts w:hint="eastAsia" w:ascii="仿宋_GB2312" w:eastAsia="仿宋_GB2312"/>
          <w:sz w:val="32"/>
          <w:szCs w:val="32"/>
          <w:lang w:eastAsia="zh-CN"/>
        </w:rPr>
        <w:t>；</w:t>
      </w:r>
    </w:p>
    <w:p w14:paraId="127BDD9B">
      <w:pPr>
        <w:ind w:firstLine="640" w:firstLineChars="200"/>
        <w:jc w:val="left"/>
        <w:rPr>
          <w:rFonts w:ascii="仿宋_GB2312" w:eastAsia="仿宋_GB2312"/>
          <w:sz w:val="32"/>
          <w:szCs w:val="32"/>
        </w:rPr>
      </w:pPr>
      <w:r>
        <w:rPr>
          <w:rFonts w:hint="eastAsia" w:ascii="仿宋_GB2312" w:eastAsia="仿宋_GB2312"/>
          <w:sz w:val="32"/>
          <w:szCs w:val="32"/>
        </w:rPr>
        <w:t>7、车身广告正式制作前，乙方应当已办理好广告发布的许可手续，否则，产生的一切法律后果由乙方承担。</w:t>
      </w:r>
    </w:p>
    <w:p w14:paraId="0A7BCD9B">
      <w:pPr>
        <w:rPr>
          <w:rFonts w:ascii="黑体" w:hAnsi="黑体" w:eastAsia="黑体"/>
          <w:b/>
          <w:sz w:val="32"/>
          <w:szCs w:val="32"/>
        </w:rPr>
      </w:pPr>
      <w:r>
        <w:rPr>
          <w:rFonts w:hint="eastAsia" w:ascii="仿宋" w:hAnsi="仿宋" w:eastAsia="仿宋"/>
          <w:b/>
          <w:sz w:val="32"/>
          <w:szCs w:val="32"/>
        </w:rPr>
        <w:t xml:space="preserve"> </w:t>
      </w:r>
      <w:r>
        <w:rPr>
          <w:rFonts w:hint="eastAsia" w:ascii="黑体" w:hAnsi="黑体" w:eastAsia="黑体"/>
          <w:b/>
          <w:sz w:val="32"/>
          <w:szCs w:val="32"/>
        </w:rPr>
        <w:t xml:space="preserve">   </w:t>
      </w:r>
      <w:bookmarkEnd w:id="2"/>
      <w:r>
        <w:rPr>
          <w:rFonts w:hint="eastAsia" w:ascii="黑体" w:hAnsi="黑体" w:eastAsia="黑体"/>
          <w:b/>
          <w:sz w:val="32"/>
          <w:szCs w:val="32"/>
        </w:rPr>
        <w:t>八、违约责任：</w:t>
      </w:r>
    </w:p>
    <w:p w14:paraId="4EE2F7FC">
      <w:pPr>
        <w:ind w:firstLine="640" w:firstLineChars="200"/>
        <w:jc w:val="lef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、合同期内，甲、乙双方不得无故单方终止合同，不得将合同约定的公交车车身广告位租赁或转让给另一方，否则按当年车身广告位租赁费总额赔偿对方，并承担相应的法律责任。</w:t>
      </w:r>
    </w:p>
    <w:p w14:paraId="278D42C6">
      <w:pPr>
        <w:ind w:firstLine="640" w:firstLineChars="200"/>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、乙方未按合同时间足额付款，每逾期一天，应向甲方支付租赁费总额</w:t>
      </w:r>
      <w:r>
        <w:rPr>
          <w:rFonts w:hint="eastAsia" w:ascii="仿宋_GB2312" w:hAnsi="仿宋" w:eastAsia="仿宋_GB2312"/>
          <w:sz w:val="32"/>
          <w:szCs w:val="32"/>
          <w:lang w:val="en-US" w:eastAsia="zh-CN"/>
        </w:rPr>
        <w:t>0.03</w:t>
      </w:r>
      <w:r>
        <w:rPr>
          <w:rFonts w:hint="eastAsia" w:ascii="仿宋_GB2312" w:hAnsi="仿宋" w:eastAsia="仿宋_GB2312"/>
          <w:sz w:val="32"/>
          <w:szCs w:val="32"/>
        </w:rPr>
        <w:t xml:space="preserve"> %的违约金，逾期时间超出</w:t>
      </w:r>
      <w:r>
        <w:rPr>
          <w:rFonts w:ascii="仿宋_GB2312" w:hAnsi="仿宋" w:eastAsia="仿宋_GB2312"/>
          <w:sz w:val="32"/>
          <w:szCs w:val="32"/>
        </w:rPr>
        <w:t>30个工作日的，甲方有权撤除车身广告，终止本合同。乙方并按全年车身广告租赁费总额的</w:t>
      </w:r>
      <w:r>
        <w:rPr>
          <w:rFonts w:hint="eastAsia" w:ascii="仿宋_GB2312" w:hAnsi="仿宋" w:eastAsia="仿宋_GB2312"/>
          <w:sz w:val="32"/>
          <w:szCs w:val="32"/>
          <w:lang w:val="en-US" w:eastAsia="zh-CN"/>
        </w:rPr>
        <w:t>1</w:t>
      </w:r>
      <w:r>
        <w:rPr>
          <w:rFonts w:ascii="仿宋_GB2312" w:hAnsi="仿宋" w:eastAsia="仿宋_GB2312"/>
          <w:sz w:val="32"/>
          <w:szCs w:val="32"/>
        </w:rPr>
        <w:t>0%向甲方支付违约金。</w:t>
      </w:r>
    </w:p>
    <w:p w14:paraId="53E7D6CF">
      <w:pPr>
        <w:ind w:firstLine="640" w:firstLineChars="200"/>
        <w:jc w:val="left"/>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、除车辆保修、交通事故及人力不可抗拒的自然因素及其他不可归责于甲方的原因外，因甲方原因造成车辆停驶</w:t>
      </w:r>
      <w:r>
        <w:rPr>
          <w:rFonts w:hint="eastAsia" w:ascii="仿宋_GB2312" w:hAnsi="仿宋" w:eastAsia="仿宋_GB2312"/>
          <w:sz w:val="32"/>
          <w:szCs w:val="32"/>
          <w:lang w:val="en-US" w:eastAsia="zh-CN"/>
        </w:rPr>
        <w:t>超过</w:t>
      </w:r>
      <w:r>
        <w:rPr>
          <w:rFonts w:hint="eastAsia" w:ascii="仿宋_GB2312" w:hAnsi="仿宋" w:eastAsia="仿宋_GB2312"/>
          <w:sz w:val="32"/>
          <w:szCs w:val="32"/>
        </w:rPr>
        <w:t>壹月的，合同期限按停驶时间作相应顺延。</w:t>
      </w:r>
    </w:p>
    <w:p w14:paraId="08E353D6">
      <w:pPr>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、因政府行为、自然灾害等不可抗拒因素造成的本合同不能正常履行，甲方则退还乙方所交公交车车身广告位租赁费的未到期部分金额。</w:t>
      </w:r>
      <w:r>
        <w:rPr>
          <w:rFonts w:ascii="仿宋_GB2312" w:hAnsi="仿宋" w:eastAsia="仿宋_GB2312"/>
          <w:sz w:val="32"/>
          <w:szCs w:val="32"/>
        </w:rPr>
        <w:t xml:space="preserve">                                 </w:t>
      </w:r>
    </w:p>
    <w:p w14:paraId="5C9615D7">
      <w:pPr>
        <w:spacing w:line="360" w:lineRule="auto"/>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w:t>
      </w:r>
      <w:r>
        <w:rPr>
          <w:rFonts w:hint="eastAsia" w:ascii="仿宋" w:hAnsi="仿宋" w:eastAsia="仿宋" w:cs="仿宋"/>
          <w:sz w:val="32"/>
          <w:szCs w:val="32"/>
        </w:rPr>
        <w:t>涉及政府部门要求必须使用的公益性广告，乙方须无条件的配合甲方并按要求及时使用。公益性广告占用的车辆数、时间、费用由双方协商解决</w:t>
      </w:r>
      <w:r>
        <w:rPr>
          <w:rFonts w:hint="eastAsia" w:ascii="仿宋" w:hAnsi="仿宋" w:eastAsia="仿宋" w:cs="仿宋"/>
          <w:sz w:val="32"/>
          <w:szCs w:val="32"/>
          <w:lang w:eastAsia="zh-CN"/>
        </w:rPr>
        <w:t>。</w:t>
      </w:r>
      <w:bookmarkStart w:id="37" w:name="_GoBack"/>
      <w:bookmarkEnd w:id="37"/>
    </w:p>
    <w:p w14:paraId="4A7CE031">
      <w:pPr>
        <w:spacing w:line="360" w:lineRule="auto"/>
        <w:ind w:firstLine="643" w:firstLineChars="200"/>
        <w:rPr>
          <w:rFonts w:hint="eastAsia" w:ascii="仿宋" w:hAnsi="仿宋" w:eastAsia="仿宋" w:cs="仿宋"/>
          <w:b/>
          <w:sz w:val="32"/>
          <w:szCs w:val="32"/>
        </w:rPr>
      </w:pPr>
      <w:r>
        <w:rPr>
          <w:rFonts w:hint="eastAsia" w:ascii="黑体" w:hAnsi="黑体" w:eastAsia="黑体"/>
          <w:b/>
          <w:sz w:val="32"/>
          <w:szCs w:val="32"/>
        </w:rPr>
        <w:t>九、</w:t>
      </w:r>
      <w:r>
        <w:rPr>
          <w:rFonts w:hint="eastAsia" w:ascii="仿宋" w:hAnsi="仿宋" w:eastAsia="仿宋" w:cs="仿宋"/>
          <w:b/>
          <w:sz w:val="32"/>
          <w:szCs w:val="32"/>
        </w:rPr>
        <w:t>不可抗力事件处理</w:t>
      </w:r>
    </w:p>
    <w:p w14:paraId="68F38B12">
      <w:pPr>
        <w:tabs>
          <w:tab w:val="left" w:pos="0"/>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1、在合同有效期内，任何一方因不可抗力事件导致不能履行合同，则合同履行期可延长，其延长期与不可抗力影响期相同。</w:t>
      </w:r>
    </w:p>
    <w:p w14:paraId="2DA4DA27">
      <w:pPr>
        <w:tabs>
          <w:tab w:val="left" w:pos="0"/>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2、不可抗力事件发生后，应立即通知对方，并寄送有关权威机构出具的证明。</w:t>
      </w:r>
    </w:p>
    <w:p w14:paraId="777AB98D">
      <w:pPr>
        <w:tabs>
          <w:tab w:val="left" w:pos="0"/>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3、不可抗力事件延续30天以上，双方应通过友好协商，确定是否继续履行合同。</w:t>
      </w:r>
    </w:p>
    <w:p w14:paraId="1237E88F">
      <w:pPr>
        <w:spacing w:line="360" w:lineRule="auto"/>
        <w:ind w:firstLine="643" w:firstLineChars="200"/>
        <w:rPr>
          <w:rFonts w:hint="eastAsia" w:ascii="仿宋" w:hAnsi="仿宋" w:eastAsia="仿宋" w:cs="仿宋"/>
          <w:b/>
          <w:sz w:val="32"/>
          <w:szCs w:val="32"/>
        </w:rPr>
      </w:pPr>
      <w:r>
        <w:rPr>
          <w:rFonts w:hint="eastAsia" w:ascii="仿宋" w:hAnsi="仿宋" w:eastAsia="仿宋" w:cs="仿宋"/>
          <w:b/>
          <w:bCs/>
          <w:sz w:val="32"/>
          <w:szCs w:val="32"/>
        </w:rPr>
        <w:t>十、</w:t>
      </w:r>
      <w:bookmarkStart w:id="3" w:name="_Toc247334846"/>
      <w:bookmarkStart w:id="4" w:name="_Toc251768867"/>
      <w:bookmarkStart w:id="5" w:name="_Toc211911353"/>
      <w:bookmarkStart w:id="6" w:name="_Toc286993792"/>
      <w:bookmarkStart w:id="7" w:name="_Toc225244857"/>
      <w:bookmarkStart w:id="8" w:name="_Toc211854454"/>
      <w:bookmarkStart w:id="9" w:name="_Toc225654649"/>
      <w:bookmarkStart w:id="10" w:name="_Toc241833908"/>
      <w:bookmarkStart w:id="11" w:name="_Toc238984980"/>
      <w:bookmarkStart w:id="12" w:name="_Toc239233919"/>
      <w:bookmarkStart w:id="13" w:name="_Toc225670756"/>
      <w:bookmarkStart w:id="14" w:name="_Toc237145411"/>
      <w:bookmarkStart w:id="15" w:name="_Toc185395254"/>
      <w:bookmarkStart w:id="16" w:name="_Toc239568423"/>
      <w:bookmarkStart w:id="17" w:name="_Toc232492933"/>
      <w:bookmarkStart w:id="18" w:name="_Toc212019599"/>
      <w:r>
        <w:rPr>
          <w:rFonts w:hint="eastAsia" w:ascii="仿宋" w:hAnsi="仿宋" w:eastAsia="仿宋" w:cs="仿宋"/>
          <w:b/>
          <w:sz w:val="32"/>
          <w:szCs w:val="32"/>
        </w:rPr>
        <w:t>解决合同纠纷的方式</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3553009">
      <w:pPr>
        <w:tabs>
          <w:tab w:val="left" w:pos="0"/>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1、在执行本合同中发生的或与本合同有关的争端，双方应通过友好协商解决，经协商不能达成协议时，应向甲方所在地</w:t>
      </w:r>
      <w:r>
        <w:rPr>
          <w:rFonts w:hint="eastAsia" w:ascii="仿宋" w:hAnsi="仿宋" w:eastAsia="仿宋" w:cs="仿宋"/>
          <w:sz w:val="32"/>
          <w:szCs w:val="32"/>
          <w:lang w:eastAsia="zh-CN"/>
        </w:rPr>
        <w:t>人民</w:t>
      </w:r>
      <w:r>
        <w:rPr>
          <w:rFonts w:hint="eastAsia" w:ascii="仿宋" w:hAnsi="仿宋" w:eastAsia="仿宋" w:cs="仿宋"/>
          <w:sz w:val="32"/>
          <w:szCs w:val="32"/>
        </w:rPr>
        <w:t>法院</w:t>
      </w:r>
      <w:r>
        <w:rPr>
          <w:rFonts w:hint="eastAsia" w:ascii="仿宋_GB2312" w:hAnsi="仿宋" w:eastAsia="仿宋_GB2312"/>
          <w:sz w:val="32"/>
          <w:szCs w:val="32"/>
        </w:rPr>
        <w:t>起诉</w:t>
      </w:r>
      <w:r>
        <w:rPr>
          <w:rFonts w:hint="eastAsia" w:ascii="仿宋" w:hAnsi="仿宋" w:eastAsia="仿宋" w:cs="仿宋"/>
          <w:sz w:val="32"/>
          <w:szCs w:val="32"/>
        </w:rPr>
        <w:t>。</w:t>
      </w:r>
    </w:p>
    <w:p w14:paraId="545C1016">
      <w:pPr>
        <w:pStyle w:val="6"/>
        <w:rPr>
          <w:rFonts w:hint="eastAsia" w:ascii="仿宋" w:hAnsi="仿宋" w:eastAsia="仿宋" w:cs="仿宋"/>
          <w:b w:val="0"/>
          <w:bCs/>
          <w:sz w:val="32"/>
          <w:szCs w:val="32"/>
        </w:rPr>
      </w:pPr>
      <w:r>
        <w:rPr>
          <w:rFonts w:hint="eastAsia" w:ascii="仿宋" w:hAnsi="仿宋" w:eastAsia="仿宋" w:cs="仿宋"/>
          <w:b w:val="0"/>
          <w:bCs/>
          <w:sz w:val="32"/>
          <w:szCs w:val="32"/>
        </w:rPr>
        <w:t xml:space="preserve">2、诉讼期间，除正在进行诉讼部分外，合同其他部分继续执行。 </w:t>
      </w:r>
    </w:p>
    <w:p w14:paraId="652A52B8">
      <w:pPr>
        <w:spacing w:line="360" w:lineRule="auto"/>
        <w:ind w:firstLine="321" w:firstLineChars="100"/>
        <w:rPr>
          <w:rFonts w:hint="eastAsia" w:ascii="仿宋" w:hAnsi="仿宋" w:eastAsia="仿宋" w:cs="仿宋"/>
          <w:b/>
          <w:sz w:val="32"/>
          <w:szCs w:val="32"/>
        </w:rPr>
      </w:pPr>
      <w:r>
        <w:rPr>
          <w:rFonts w:hint="eastAsia" w:ascii="仿宋" w:hAnsi="仿宋" w:eastAsia="仿宋" w:cs="仿宋"/>
          <w:b/>
          <w:sz w:val="32"/>
          <w:szCs w:val="32"/>
        </w:rPr>
        <w:t>十一、</w:t>
      </w:r>
      <w:bookmarkStart w:id="19" w:name="_Toc225244858"/>
      <w:bookmarkStart w:id="20" w:name="_Toc247334847"/>
      <w:bookmarkStart w:id="21" w:name="_Toc212019600"/>
      <w:bookmarkStart w:id="22" w:name="_Toc283019219"/>
      <w:bookmarkStart w:id="23" w:name="_Toc211854455"/>
      <w:bookmarkStart w:id="24" w:name="_Toc239233920"/>
      <w:bookmarkStart w:id="25" w:name="_Toc225670757"/>
      <w:bookmarkStart w:id="26" w:name="_Toc282696231"/>
      <w:bookmarkStart w:id="27" w:name="_Toc211911354"/>
      <w:bookmarkStart w:id="28" w:name="_Toc241833909"/>
      <w:bookmarkStart w:id="29" w:name="_Toc225654650"/>
      <w:bookmarkStart w:id="30" w:name="_Toc239568424"/>
      <w:bookmarkStart w:id="31" w:name="_Toc251768868"/>
      <w:bookmarkStart w:id="32" w:name="_Toc185395255"/>
      <w:bookmarkStart w:id="33" w:name="_Toc286993793"/>
      <w:bookmarkStart w:id="34" w:name="_Toc232492934"/>
      <w:bookmarkStart w:id="35" w:name="_Toc237145412"/>
      <w:bookmarkStart w:id="36" w:name="_Toc238984981"/>
      <w:r>
        <w:rPr>
          <w:rFonts w:hint="eastAsia" w:ascii="仿宋" w:hAnsi="仿宋" w:eastAsia="仿宋" w:cs="仿宋"/>
          <w:b/>
          <w:sz w:val="32"/>
          <w:szCs w:val="32"/>
        </w:rPr>
        <w:t>合同</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仿宋" w:hAnsi="仿宋" w:eastAsia="仿宋" w:cs="仿宋"/>
          <w:b/>
          <w:sz w:val="32"/>
          <w:szCs w:val="32"/>
        </w:rPr>
        <w:t>生效及其他</w:t>
      </w:r>
    </w:p>
    <w:p w14:paraId="7EC93DD1">
      <w:pPr>
        <w:pStyle w:val="8"/>
        <w:spacing w:line="360" w:lineRule="auto"/>
        <w:ind w:firstLine="640"/>
        <w:rPr>
          <w:rFonts w:hint="eastAsia" w:ascii="仿宋" w:hAnsi="仿宋" w:eastAsia="仿宋" w:cs="仿宋"/>
          <w:sz w:val="32"/>
          <w:szCs w:val="32"/>
        </w:rPr>
      </w:pPr>
      <w:r>
        <w:rPr>
          <w:rFonts w:hint="eastAsia" w:ascii="仿宋" w:hAnsi="仿宋" w:eastAsia="仿宋" w:cs="仿宋"/>
          <w:sz w:val="32"/>
          <w:szCs w:val="32"/>
        </w:rPr>
        <w:t>1、合同经双方法定代表人或授权委托代理人签字并加盖单位公章后生效。</w:t>
      </w:r>
    </w:p>
    <w:p w14:paraId="050B037E">
      <w:pPr>
        <w:pStyle w:val="8"/>
        <w:spacing w:line="360" w:lineRule="auto"/>
        <w:ind w:firstLine="640"/>
        <w:rPr>
          <w:rFonts w:hint="eastAsia" w:ascii="仿宋" w:hAnsi="仿宋" w:eastAsia="仿宋" w:cs="仿宋"/>
          <w:sz w:val="32"/>
          <w:szCs w:val="32"/>
        </w:rPr>
      </w:pPr>
      <w:r>
        <w:rPr>
          <w:rFonts w:hint="eastAsia" w:ascii="仿宋" w:hAnsi="仿宋" w:eastAsia="仿宋" w:cs="仿宋"/>
          <w:sz w:val="32"/>
          <w:szCs w:val="32"/>
        </w:rPr>
        <w:t>2、合同执行中涉及采购资金和采购内容修改或补充的，须经甲方确认，并签书面补充协议，方可作为主合同不可分割的一部分。</w:t>
      </w:r>
    </w:p>
    <w:p w14:paraId="1D72058B">
      <w:pPr>
        <w:pStyle w:val="8"/>
        <w:spacing w:line="360" w:lineRule="auto"/>
        <w:ind w:firstLine="640"/>
        <w:rPr>
          <w:rFonts w:hint="eastAsia" w:ascii="仿宋" w:hAnsi="仿宋" w:eastAsia="仿宋" w:cs="仿宋"/>
          <w:sz w:val="32"/>
          <w:szCs w:val="32"/>
        </w:rPr>
      </w:pPr>
      <w:r>
        <w:rPr>
          <w:rFonts w:hint="eastAsia" w:ascii="仿宋" w:hAnsi="仿宋" w:eastAsia="仿宋" w:cs="仿宋"/>
          <w:sz w:val="32"/>
          <w:szCs w:val="32"/>
        </w:rPr>
        <w:t>3、本合同一式</w:t>
      </w:r>
      <w:r>
        <w:rPr>
          <w:rFonts w:hint="eastAsia" w:ascii="仿宋" w:hAnsi="仿宋" w:eastAsia="仿宋" w:cs="仿宋"/>
          <w:sz w:val="32"/>
          <w:szCs w:val="32"/>
          <w:lang w:eastAsia="zh-CN"/>
        </w:rPr>
        <w:t>贰</w:t>
      </w:r>
      <w:r>
        <w:rPr>
          <w:rFonts w:hint="eastAsia" w:ascii="仿宋" w:hAnsi="仿宋" w:eastAsia="仿宋" w:cs="仿宋"/>
          <w:sz w:val="32"/>
          <w:szCs w:val="32"/>
        </w:rPr>
        <w:t>份，自双方签字盖章之日起</w:t>
      </w:r>
      <w:r>
        <w:rPr>
          <w:rFonts w:hint="eastAsia" w:ascii="仿宋" w:hAnsi="仿宋" w:eastAsia="仿宋" w:cs="仿宋"/>
          <w:sz w:val="32"/>
          <w:szCs w:val="32"/>
          <w:lang w:val="en-US" w:eastAsia="zh-CN"/>
        </w:rPr>
        <w:t>生</w:t>
      </w:r>
      <w:r>
        <w:rPr>
          <w:rFonts w:hint="eastAsia" w:ascii="仿宋" w:hAnsi="仿宋" w:eastAsia="仿宋" w:cs="仿宋"/>
          <w:sz w:val="32"/>
          <w:szCs w:val="32"/>
        </w:rPr>
        <w:t>效。甲</w:t>
      </w:r>
      <w:r>
        <w:rPr>
          <w:rFonts w:hint="eastAsia" w:ascii="仿宋" w:hAnsi="仿宋" w:eastAsia="仿宋" w:cs="仿宋"/>
          <w:sz w:val="32"/>
          <w:szCs w:val="32"/>
          <w:lang w:eastAsia="zh-CN"/>
        </w:rPr>
        <w:t>乙双</w:t>
      </w:r>
      <w:r>
        <w:rPr>
          <w:rFonts w:hint="eastAsia" w:ascii="仿宋" w:hAnsi="仿宋" w:eastAsia="仿宋" w:cs="仿宋"/>
          <w:sz w:val="32"/>
          <w:szCs w:val="32"/>
          <w:lang w:val="en-US" w:eastAsia="zh-CN"/>
        </w:rPr>
        <w:t>方</w:t>
      </w:r>
      <w:r>
        <w:rPr>
          <w:rFonts w:hint="eastAsia" w:ascii="仿宋" w:hAnsi="仿宋" w:eastAsia="仿宋" w:cs="仿宋"/>
          <w:sz w:val="32"/>
          <w:szCs w:val="32"/>
          <w:lang w:eastAsia="zh-CN"/>
        </w:rPr>
        <w:t>各执一份，</w:t>
      </w:r>
      <w:r>
        <w:rPr>
          <w:rFonts w:hint="eastAsia" w:ascii="仿宋" w:hAnsi="仿宋" w:eastAsia="仿宋" w:cs="仿宋"/>
          <w:sz w:val="32"/>
          <w:szCs w:val="32"/>
          <w:lang w:val="en-US" w:eastAsia="zh-CN"/>
        </w:rPr>
        <w:t>均</w:t>
      </w:r>
      <w:r>
        <w:rPr>
          <w:rFonts w:hint="eastAsia" w:ascii="仿宋" w:hAnsi="仿宋" w:eastAsia="仿宋" w:cs="仿宋"/>
          <w:sz w:val="32"/>
          <w:szCs w:val="32"/>
        </w:rPr>
        <w:t>具有同等法律效力。</w:t>
      </w:r>
    </w:p>
    <w:p w14:paraId="0CA75F7F">
      <w:pPr>
        <w:ind w:firstLine="630" w:firstLineChars="196"/>
        <w:rPr>
          <w:rFonts w:hint="eastAsia" w:ascii="仿宋" w:hAnsi="仿宋" w:eastAsia="仿宋" w:cs="仿宋"/>
          <w:b/>
          <w:sz w:val="32"/>
          <w:szCs w:val="32"/>
        </w:rPr>
      </w:pPr>
      <w:r>
        <w:rPr>
          <w:rFonts w:hint="eastAsia" w:ascii="仿宋" w:hAnsi="仿宋" w:eastAsia="仿宋" w:cs="仿宋"/>
          <w:b/>
          <w:sz w:val="32"/>
          <w:szCs w:val="32"/>
        </w:rPr>
        <w:t>十二、其他及附件</w:t>
      </w:r>
    </w:p>
    <w:p w14:paraId="094F8F5A">
      <w:pPr>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、本合同未尽事宜，甲、乙双方另行协商，协商后签订的协议与本合同具有同等法律效力。</w:t>
      </w:r>
    </w:p>
    <w:p w14:paraId="20AB7FDD">
      <w:pPr>
        <w:pStyle w:val="8"/>
        <w:spacing w:line="360" w:lineRule="auto"/>
        <w:ind w:firstLine="640"/>
        <w:rPr>
          <w:rFonts w:hint="eastAsia" w:ascii="仿宋" w:hAnsi="仿宋" w:eastAsia="仿宋" w:cs="仿宋"/>
          <w:sz w:val="32"/>
          <w:szCs w:val="32"/>
        </w:rPr>
      </w:pPr>
      <w:r>
        <w:rPr>
          <w:rFonts w:hint="eastAsia" w:ascii="仿宋" w:hAnsi="仿宋" w:eastAsia="仿宋" w:cs="仿宋"/>
          <w:sz w:val="32"/>
          <w:szCs w:val="32"/>
        </w:rPr>
        <w:t>2、项目招标文件</w:t>
      </w:r>
    </w:p>
    <w:p w14:paraId="7D144C9D">
      <w:pPr>
        <w:pStyle w:val="8"/>
        <w:spacing w:line="360" w:lineRule="auto"/>
        <w:ind w:firstLine="64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、项目投标文件</w:t>
      </w:r>
    </w:p>
    <w:p w14:paraId="570CA09A">
      <w:pPr>
        <w:pStyle w:val="8"/>
        <w:spacing w:line="360" w:lineRule="auto"/>
        <w:ind w:firstLine="64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、中标通知书</w:t>
      </w:r>
    </w:p>
    <w:p w14:paraId="70A3F3C7">
      <w:pPr>
        <w:pStyle w:val="8"/>
        <w:spacing w:line="360" w:lineRule="auto"/>
        <w:ind w:firstLine="640"/>
        <w:rPr>
          <w:rFonts w:hint="eastAsia" w:ascii="仿宋" w:hAnsi="仿宋" w:eastAsia="仿宋" w:cs="仿宋"/>
          <w:sz w:val="32"/>
          <w:szCs w:val="32"/>
          <w:lang w:eastAsia="zh-CN"/>
        </w:rPr>
      </w:pPr>
      <w:r>
        <w:rPr>
          <w:rFonts w:hint="eastAsia" w:ascii="仿宋" w:hAnsi="仿宋" w:eastAsia="仿宋" w:cs="仿宋"/>
          <w:sz w:val="32"/>
          <w:szCs w:val="32"/>
        </w:rPr>
        <w:t>5、其</w:t>
      </w:r>
      <w:r>
        <w:rPr>
          <w:rFonts w:hint="eastAsia" w:ascii="仿宋" w:hAnsi="仿宋" w:eastAsia="仿宋" w:cs="仿宋"/>
          <w:sz w:val="32"/>
          <w:szCs w:val="32"/>
          <w:lang w:eastAsia="zh-CN"/>
        </w:rPr>
        <w:t>他</w:t>
      </w:r>
    </w:p>
    <w:p w14:paraId="4D3D4B70">
      <w:pPr>
        <w:pStyle w:val="8"/>
        <w:spacing w:line="360" w:lineRule="auto"/>
        <w:ind w:firstLine="640"/>
        <w:rPr>
          <w:rFonts w:hint="eastAsia" w:ascii="仿宋" w:hAnsi="仿宋" w:eastAsia="仿宋" w:cs="仿宋"/>
          <w:sz w:val="32"/>
          <w:szCs w:val="32"/>
          <w:lang w:eastAsia="zh-CN"/>
        </w:rPr>
      </w:pPr>
    </w:p>
    <w:p w14:paraId="61ABAE86">
      <w:pPr>
        <w:widowControl/>
        <w:jc w:val="left"/>
        <w:rPr>
          <w:rFonts w:ascii="仿宋_GB2312" w:hAnsi="仿宋" w:eastAsia="仿宋_GB2312"/>
          <w:sz w:val="32"/>
          <w:szCs w:val="32"/>
        </w:rPr>
      </w:pPr>
      <w:r>
        <w:rPr>
          <w:rFonts w:hint="eastAsia" w:ascii="仿宋_GB2312" w:hAnsi="仿宋" w:eastAsia="仿宋_GB2312"/>
          <w:sz w:val="32"/>
          <w:szCs w:val="32"/>
        </w:rPr>
        <w:t>甲方（盖章）：</w:t>
      </w:r>
      <w:r>
        <w:rPr>
          <w:rFonts w:ascii="仿宋_GB2312" w:hAnsi="仿宋" w:eastAsia="仿宋_GB2312"/>
          <w:sz w:val="32"/>
          <w:szCs w:val="32"/>
        </w:rPr>
        <w:t xml:space="preserve">                </w:t>
      </w:r>
      <w:r>
        <w:rPr>
          <w:rFonts w:hint="eastAsia" w:ascii="仿宋_GB2312" w:hAnsi="仿宋" w:eastAsia="仿宋_GB2312"/>
          <w:sz w:val="32"/>
          <w:szCs w:val="32"/>
        </w:rPr>
        <w:t>乙方（盖章）：</w:t>
      </w:r>
    </w:p>
    <w:p w14:paraId="41F281E5">
      <w:pPr>
        <w:rPr>
          <w:rFonts w:ascii="仿宋_GB2312" w:hAnsi="仿宋" w:eastAsia="仿宋_GB2312"/>
          <w:szCs w:val="21"/>
        </w:rPr>
      </w:pPr>
    </w:p>
    <w:p w14:paraId="244A08C5">
      <w:pPr>
        <w:rPr>
          <w:rFonts w:ascii="仿宋_GB2312" w:hAnsi="仿宋" w:eastAsia="仿宋_GB2312"/>
          <w:sz w:val="32"/>
          <w:szCs w:val="32"/>
        </w:rPr>
      </w:pPr>
      <w:r>
        <w:rPr>
          <w:rFonts w:hint="eastAsia" w:ascii="仿宋_GB2312" w:hAnsi="仿宋" w:eastAsia="仿宋_GB2312"/>
          <w:sz w:val="32"/>
          <w:szCs w:val="32"/>
        </w:rPr>
        <w:t>甲方代表（签字）：</w:t>
      </w:r>
      <w:r>
        <w:rPr>
          <w:rFonts w:ascii="仿宋_GB2312" w:hAnsi="仿宋" w:eastAsia="仿宋_GB2312"/>
          <w:sz w:val="32"/>
          <w:szCs w:val="32"/>
        </w:rPr>
        <w:t xml:space="preserve">            </w:t>
      </w:r>
      <w:r>
        <w:rPr>
          <w:rFonts w:hint="eastAsia" w:ascii="仿宋_GB2312" w:hAnsi="仿宋" w:eastAsia="仿宋_GB2312"/>
          <w:sz w:val="32"/>
          <w:szCs w:val="32"/>
        </w:rPr>
        <w:t>乙方代表（签字）：</w:t>
      </w:r>
    </w:p>
    <w:p w14:paraId="25C76520">
      <w:pPr>
        <w:rPr>
          <w:sz w:val="32"/>
          <w:szCs w:val="32"/>
        </w:rPr>
      </w:pPr>
    </w:p>
    <w:p w14:paraId="5CEA4F19">
      <w:pPr>
        <w:rPr>
          <w:rFonts w:ascii="仿宋_GB2312" w:eastAsia="仿宋_GB2312"/>
          <w:sz w:val="32"/>
          <w:szCs w:val="32"/>
        </w:rPr>
      </w:pPr>
      <w:r>
        <w:rPr>
          <w:rFonts w:hint="eastAsia" w:ascii="仿宋_GB2312" w:eastAsia="仿宋_GB2312"/>
          <w:sz w:val="32"/>
          <w:szCs w:val="32"/>
        </w:rPr>
        <w:t>签署时间：</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r>
        <w:rPr>
          <w:rFonts w:hint="eastAsia" w:ascii="仿宋_GB2312" w:eastAsia="仿宋_GB2312"/>
          <w:sz w:val="32"/>
          <w:szCs w:val="32"/>
          <w:lang w:val="en-US" w:eastAsia="zh-CN"/>
        </w:rPr>
        <w:t xml:space="preserve">     </w:t>
      </w:r>
      <w:r>
        <w:rPr>
          <w:rFonts w:hint="eastAsia" w:ascii="仿宋_GB2312" w:eastAsia="仿宋_GB2312"/>
          <w:sz w:val="32"/>
          <w:szCs w:val="32"/>
        </w:rPr>
        <w:t>签署时间：</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14:paraId="18593383">
      <w:pPr>
        <w:rPr>
          <w:rFonts w:hint="default" w:ascii="仿宋_GB2312" w:eastAsia="仿宋_GB2312"/>
          <w:sz w:val="32"/>
          <w:szCs w:val="32"/>
          <w:lang w:val="en-US" w:eastAsia="zh-CN"/>
        </w:rPr>
      </w:pPr>
    </w:p>
    <w:p w14:paraId="35519655">
      <w:pPr>
        <w:ind w:firstLine="640" w:firstLineChars="200"/>
        <w:jc w:val="left"/>
        <w:rPr>
          <w:rFonts w:ascii="仿宋" w:hAnsi="仿宋" w:eastAsia="仿宋"/>
          <w:sz w:val="32"/>
          <w:szCs w:val="32"/>
        </w:rPr>
      </w:pPr>
    </w:p>
    <w:p w14:paraId="402DD285"/>
    <w:p w14:paraId="2F530693"/>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0A83">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14:paraId="7B8D329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DFF7F"/>
    <w:multiLevelType w:val="singleLevel"/>
    <w:tmpl w:val="C4ADFF7F"/>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FF52C86"/>
    <w:multiLevelType w:val="multilevel"/>
    <w:tmpl w:val="4FF52C86"/>
    <w:lvl w:ilvl="0" w:tentative="0">
      <w:start w:val="1"/>
      <w:numFmt w:val="japaneseCounting"/>
      <w:lvlText w:val="%1、"/>
      <w:lvlJc w:val="left"/>
      <w:pPr>
        <w:ind w:left="1429" w:hanging="720"/>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ZjEzNmRjMDdjMjA0Y2MzN2M5NWIzNmQ5OWM2YzQifQ=="/>
  </w:docVars>
  <w:rsids>
    <w:rsidRoot w:val="6EDB73A4"/>
    <w:rsid w:val="023465F9"/>
    <w:rsid w:val="0A126AFE"/>
    <w:rsid w:val="0F0831E3"/>
    <w:rsid w:val="1022049E"/>
    <w:rsid w:val="10EB57B7"/>
    <w:rsid w:val="110207D3"/>
    <w:rsid w:val="146B10E9"/>
    <w:rsid w:val="17822888"/>
    <w:rsid w:val="1A226920"/>
    <w:rsid w:val="236810BD"/>
    <w:rsid w:val="262D5A69"/>
    <w:rsid w:val="2DB21BF1"/>
    <w:rsid w:val="33995275"/>
    <w:rsid w:val="399736A7"/>
    <w:rsid w:val="3B7B5E05"/>
    <w:rsid w:val="3C2B07F9"/>
    <w:rsid w:val="3D3E63D8"/>
    <w:rsid w:val="3EAD0F3F"/>
    <w:rsid w:val="40194E88"/>
    <w:rsid w:val="443268F2"/>
    <w:rsid w:val="450B28BE"/>
    <w:rsid w:val="476E720A"/>
    <w:rsid w:val="49344FC2"/>
    <w:rsid w:val="49990F00"/>
    <w:rsid w:val="4C966EC9"/>
    <w:rsid w:val="4D3221A0"/>
    <w:rsid w:val="51DA32B1"/>
    <w:rsid w:val="54AF0AEC"/>
    <w:rsid w:val="56CD650D"/>
    <w:rsid w:val="56D4229B"/>
    <w:rsid w:val="59185A83"/>
    <w:rsid w:val="5C9251EB"/>
    <w:rsid w:val="5D793D8D"/>
    <w:rsid w:val="62941367"/>
    <w:rsid w:val="6BFA5121"/>
    <w:rsid w:val="6E6048AE"/>
    <w:rsid w:val="6EDB73A4"/>
    <w:rsid w:val="77885A13"/>
    <w:rsid w:val="7E4D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标题 5（有编号）（绿盟科技）"/>
    <w:basedOn w:val="1"/>
    <w:next w:val="7"/>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
    <w:name w:val="_Style 2"/>
    <w:basedOn w:val="1"/>
    <w:qFormat/>
    <w:uiPriority w:val="0"/>
    <w:pPr>
      <w:ind w:firstLine="420" w:firstLineChars="20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2176</Words>
  <Characters>2207</Characters>
  <Lines>0</Lines>
  <Paragraphs>0</Paragraphs>
  <TotalTime>38</TotalTime>
  <ScaleCrop>false</ScaleCrop>
  <LinksUpToDate>false</LinksUpToDate>
  <CharactersWithSpaces>2330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2022-10-18T00:40:00Z</dcterms:created>
  <dc:creator>Administrator</dc:creator>
  <cp:lastModifiedBy>点燃的那支烟</cp:lastModifiedBy>
  <dcterms:modified xsi:type="dcterms:W3CDTF">2025-10-21T01:00:05Z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5345E3D34C8E4EE4865A2BF350CDEB69_13</vt:lpwstr>
  </property>
  <property fmtid="{D5CDD505-2E9C-101B-9397-08002B2CF9AE}" pid="4" name="KSOTemplateDocerSaveRecord">
    <vt:lpwstr>eyJoZGlkIjoiZWUwZDdhZjY0OGZmODc3MmRkNGI0YTZmMmNiMjFmNzEiLCJ1c2VySWQiOiIzMDc1NDMzOTAifQ==</vt:lpwstr>
  </property>
</Properties>
</file>