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CC5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询价邀请函</w:t>
      </w:r>
    </w:p>
    <w:p w14:paraId="753FAAC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  <w:lang w:val="en-US" w:eastAsia="zh-CN"/>
        </w:rPr>
      </w:pPr>
    </w:p>
    <w:p w14:paraId="2DB1A3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/>
          <w:lang w:val="en-US" w:eastAsia="zh-CN"/>
        </w:rPr>
      </w:pPr>
    </w:p>
    <w:p w14:paraId="70CE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各供应商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</w:p>
    <w:p w14:paraId="309D605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4F2CB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为进一步提升采购效率与成本控制，确保以最合理的价格获得高质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量的服务，我司现就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采购雅安交建集团下属子公司主要负责人经济责任审计项目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进行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请。我们诚挚地邀请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公司参与此次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本次询价仅作为采购活动最高限价设置的参照依据，不作为服务提供方的中选依据。</w:t>
      </w:r>
    </w:p>
    <w:p w14:paraId="7B841CBF">
      <w:pPr>
        <w:pStyle w:val="2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00114632">
      <w:pPr>
        <w:pStyle w:val="2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附件：1.报价表</w:t>
      </w:r>
    </w:p>
    <w:p w14:paraId="1CAF2922">
      <w:pPr>
        <w:pStyle w:val="2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600" w:firstLineChars="5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2.主要负责人任职期间情况表</w:t>
      </w:r>
    </w:p>
    <w:p w14:paraId="07298487">
      <w:pPr>
        <w:pStyle w:val="2"/>
        <w:outlineLvl w:val="9"/>
        <w:rPr>
          <w:rFonts w:hint="eastAsia"/>
          <w:lang w:eastAsia="zh-CN"/>
        </w:rPr>
      </w:pPr>
    </w:p>
    <w:p w14:paraId="1A988205">
      <w:pPr>
        <w:pStyle w:val="3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雅安市交通建设（集团）有限责任公司</w:t>
      </w:r>
    </w:p>
    <w:p w14:paraId="5D1BC858">
      <w:pPr>
        <w:pStyle w:val="3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2025年10月13日</w:t>
      </w:r>
    </w:p>
    <w:p w14:paraId="6ADD166C">
      <w:pPr>
        <w:pStyle w:val="2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406D8B8">
      <w:pPr>
        <w:pStyle w:val="2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156E30BB">
      <w:pPr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085FE21D">
      <w:pPr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05C246A">
      <w:pPr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0EFACFA6">
      <w:pPr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275E3FB7">
      <w:pPr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2327E4BA">
      <w:pPr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E1D08B">
      <w:pPr>
        <w:jc w:val="both"/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附件1</w:t>
      </w:r>
    </w:p>
    <w:p w14:paraId="77CEBDC3">
      <w:pPr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报价表</w:t>
      </w:r>
    </w:p>
    <w:p w14:paraId="3D8FEFD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项目名称：</w:t>
      </w:r>
    </w:p>
    <w:p w14:paraId="21067C6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报价单位（盖章）：                                                   联系人及电话：</w:t>
      </w:r>
    </w:p>
    <w:tbl>
      <w:tblPr>
        <w:tblStyle w:val="7"/>
        <w:tblpPr w:leftFromText="180" w:rightFromText="180" w:vertAnchor="text" w:horzAnchor="page" w:tblpX="1526" w:tblpY="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09"/>
        <w:gridCol w:w="2184"/>
        <w:gridCol w:w="2016"/>
        <w:gridCol w:w="1411"/>
        <w:gridCol w:w="1375"/>
        <w:gridCol w:w="3263"/>
        <w:gridCol w:w="728"/>
      </w:tblGrid>
      <w:tr w14:paraId="3369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0" w:type="dxa"/>
            <w:vAlign w:val="center"/>
          </w:tcPr>
          <w:p w14:paraId="2D15A14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409" w:type="dxa"/>
            <w:vAlign w:val="center"/>
          </w:tcPr>
          <w:p w14:paraId="0270034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报价单位</w:t>
            </w:r>
          </w:p>
        </w:tc>
        <w:tc>
          <w:tcPr>
            <w:tcW w:w="2184" w:type="dxa"/>
            <w:vAlign w:val="center"/>
          </w:tcPr>
          <w:p w14:paraId="5DE1201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服务要求</w:t>
            </w:r>
          </w:p>
        </w:tc>
        <w:tc>
          <w:tcPr>
            <w:tcW w:w="2016" w:type="dxa"/>
            <w:vAlign w:val="center"/>
          </w:tcPr>
          <w:p w14:paraId="2D97FE1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提供服务时间</w:t>
            </w:r>
          </w:p>
        </w:tc>
        <w:tc>
          <w:tcPr>
            <w:tcW w:w="1411" w:type="dxa"/>
            <w:vAlign w:val="center"/>
          </w:tcPr>
          <w:p w14:paraId="4D0CA9B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付款方式</w:t>
            </w:r>
          </w:p>
        </w:tc>
        <w:tc>
          <w:tcPr>
            <w:tcW w:w="1375" w:type="dxa"/>
            <w:vAlign w:val="center"/>
          </w:tcPr>
          <w:p w14:paraId="10E8DB8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报价情况（含税）</w:t>
            </w:r>
          </w:p>
        </w:tc>
        <w:tc>
          <w:tcPr>
            <w:tcW w:w="3263" w:type="dxa"/>
            <w:vAlign w:val="center"/>
          </w:tcPr>
          <w:p w14:paraId="54F3364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资质要求</w:t>
            </w:r>
          </w:p>
        </w:tc>
        <w:tc>
          <w:tcPr>
            <w:tcW w:w="728" w:type="dxa"/>
            <w:vAlign w:val="center"/>
          </w:tcPr>
          <w:p w14:paraId="3B7E0B8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备注</w:t>
            </w:r>
          </w:p>
        </w:tc>
      </w:tr>
      <w:tr w14:paraId="0F6F6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</w:tcPr>
          <w:p w14:paraId="60EC4EE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雅安交建集团下属子公司主要负责人经济责任审计项目</w:t>
            </w:r>
          </w:p>
        </w:tc>
        <w:tc>
          <w:tcPr>
            <w:tcW w:w="1409" w:type="dxa"/>
          </w:tcPr>
          <w:p w14:paraId="749DCC8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184" w:type="dxa"/>
          </w:tcPr>
          <w:p w14:paraId="7E5C10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审计对象任职期间的经济责任履行情况进行核实和评价。</w:t>
            </w:r>
          </w:p>
        </w:tc>
        <w:tc>
          <w:tcPr>
            <w:tcW w:w="2016" w:type="dxa"/>
          </w:tcPr>
          <w:p w14:paraId="71B8076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签订合同2个月内提交审计报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告</w:t>
            </w:r>
          </w:p>
        </w:tc>
        <w:tc>
          <w:tcPr>
            <w:tcW w:w="1411" w:type="dxa"/>
          </w:tcPr>
          <w:p w14:paraId="279841C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审计报告提交后15个工作日内一次性付清。</w:t>
            </w:r>
          </w:p>
        </w:tc>
        <w:tc>
          <w:tcPr>
            <w:tcW w:w="1375" w:type="dxa"/>
          </w:tcPr>
          <w:p w14:paraId="4D5E60F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总价XX元，其中：</w:t>
            </w:r>
          </w:p>
          <w:p w14:paraId="403ED12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XX公司XX元</w:t>
            </w:r>
          </w:p>
        </w:tc>
        <w:tc>
          <w:tcPr>
            <w:tcW w:w="3263" w:type="dxa"/>
          </w:tcPr>
          <w:p w14:paraId="1A07F4F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1.具备有效营业执照，具有合法经营范围，具有履行合同、独立承担民事责任的能力；</w:t>
            </w:r>
          </w:p>
          <w:p w14:paraId="035F407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2.具有财政部门核发的会计师事务所执业证书;</w:t>
            </w:r>
          </w:p>
          <w:p w14:paraId="7D6D72B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3.主审人员具备注册会计师资格，具有5年以上审计工作经历，且具备离任审计工作经验。</w:t>
            </w:r>
          </w:p>
        </w:tc>
        <w:tc>
          <w:tcPr>
            <w:tcW w:w="728" w:type="dxa"/>
          </w:tcPr>
          <w:p w14:paraId="591EC1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36C65EF0">
      <w:pPr>
        <w:pStyle w:val="2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报价单位须知：</w:t>
      </w:r>
    </w:p>
    <w:p w14:paraId="1B96DD3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表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‌：请提供详细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服务报价单，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u w:val="single"/>
          <w:shd w:val="clear" w:fill="FFFFFF"/>
          <w:lang w:val="en-US" w:eastAsia="zh-CN" w:bidi="ar-SA"/>
        </w:rPr>
        <w:t>总价和各公司对应单价均需列示在报价栏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（包括但不限于单价、总价、税费、运输费用等）</w:t>
      </w:r>
    </w:p>
    <w:p w14:paraId="1B91FD2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报价截止时间：于2025年10月16日前将报价单交雅安市交通建设（集团）有限责任公司</w:t>
      </w:r>
    </w:p>
    <w:p w14:paraId="3E7511B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相关资料：法人身份证复印件、营业执照及相关资质证书等（加盖公章）</w:t>
      </w:r>
    </w:p>
    <w:p w14:paraId="2CA2398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right="0" w:rightChars="0" w:firstLine="42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2"/>
          <w:sz w:val="21"/>
          <w:szCs w:val="21"/>
          <w:shd w:val="clear" w:fill="FFFFFF"/>
          <w:lang w:val="en-US" w:eastAsia="zh-CN" w:bidi="ar-SA"/>
        </w:rPr>
        <w:t>报价方式：电子报价，将报价资料扫描件发送至邮箱jjsjb210@163.com</w:t>
      </w:r>
    </w:p>
    <w:p w14:paraId="098F69F3">
      <w:pPr>
        <w:jc w:val="both"/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附件2</w:t>
      </w:r>
    </w:p>
    <w:tbl>
      <w:tblPr>
        <w:tblStyle w:val="6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236"/>
        <w:gridCol w:w="2200"/>
        <w:gridCol w:w="3198"/>
        <w:gridCol w:w="2347"/>
        <w:gridCol w:w="2351"/>
      </w:tblGrid>
      <w:tr w14:paraId="077A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2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主要负责人任职期间情况表</w:t>
            </w:r>
          </w:p>
        </w:tc>
      </w:tr>
      <w:tr w14:paraId="08C6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06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E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FE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87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7B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5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单位：人民币万元</w:t>
            </w:r>
          </w:p>
        </w:tc>
      </w:tr>
      <w:tr w14:paraId="78AC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C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7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7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任职职务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F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8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资产总额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（2024年12月31日）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1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收入总额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（2024年度）</w:t>
            </w:r>
          </w:p>
        </w:tc>
      </w:tr>
      <w:tr w14:paraId="5E5D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7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E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兴宝公司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A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A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2023年6月至2025年8月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E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23,060.38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A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7,876.89</w:t>
            </w:r>
          </w:p>
        </w:tc>
      </w:tr>
      <w:tr w14:paraId="6C4A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0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E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丹石公司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D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2023年6月至2025年8月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C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14,049.83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7,758.77</w:t>
            </w:r>
          </w:p>
        </w:tc>
      </w:tr>
      <w:tr w14:paraId="0932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B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4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云石公司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9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3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2023年6月至2025年8月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6,221.40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8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2,361.09</w:t>
            </w:r>
          </w:p>
        </w:tc>
      </w:tr>
      <w:tr w14:paraId="1711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C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1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云石公司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B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总经理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5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2023年6月至2025年8月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E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6,221.40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A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2,361.09</w:t>
            </w:r>
          </w:p>
        </w:tc>
      </w:tr>
      <w:tr w14:paraId="556F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8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3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A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0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2024年6月至2025年8月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3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105,464.43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9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3,071.21</w:t>
            </w:r>
          </w:p>
        </w:tc>
      </w:tr>
      <w:tr w14:paraId="0AAD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3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D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1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C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2024年3月至2025年8月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6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105,464.43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4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3,071.21</w:t>
            </w:r>
          </w:p>
        </w:tc>
      </w:tr>
      <w:tr w14:paraId="759F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7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B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路桥公司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0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A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2019年3月至2025年8月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6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740,204.19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4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153,852.27</w:t>
            </w:r>
          </w:p>
        </w:tc>
      </w:tr>
      <w:tr w14:paraId="6D2E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D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0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6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0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2023年9月至2025年9月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9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32,232.66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5,816.01</w:t>
            </w:r>
          </w:p>
        </w:tc>
      </w:tr>
      <w:tr w14:paraId="3D22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9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6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佳岳公司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C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C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2019年3月至2025年3月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7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5,203.28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7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2,348.17</w:t>
            </w:r>
          </w:p>
        </w:tc>
      </w:tr>
      <w:tr w14:paraId="4A30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6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1,038,122.01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188,516.72</w:t>
            </w:r>
          </w:p>
        </w:tc>
      </w:tr>
    </w:tbl>
    <w:p w14:paraId="500960A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671E8DDA"/>
    <w:multiLevelType w:val="singleLevel"/>
    <w:tmpl w:val="671E8DDA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5031"/>
    <w:rsid w:val="054A784B"/>
    <w:rsid w:val="059E4000"/>
    <w:rsid w:val="07846919"/>
    <w:rsid w:val="09C94AB7"/>
    <w:rsid w:val="0A7A5B4A"/>
    <w:rsid w:val="1372764D"/>
    <w:rsid w:val="17AE1A29"/>
    <w:rsid w:val="18E94093"/>
    <w:rsid w:val="1A9C223A"/>
    <w:rsid w:val="299E3504"/>
    <w:rsid w:val="2A494D2F"/>
    <w:rsid w:val="2C2B52CD"/>
    <w:rsid w:val="2D686211"/>
    <w:rsid w:val="3619454C"/>
    <w:rsid w:val="36737DAC"/>
    <w:rsid w:val="3B7A3CDF"/>
    <w:rsid w:val="400B13AA"/>
    <w:rsid w:val="42873FC2"/>
    <w:rsid w:val="50412651"/>
    <w:rsid w:val="511B3EB1"/>
    <w:rsid w:val="51AC5E5D"/>
    <w:rsid w:val="54F06612"/>
    <w:rsid w:val="54FA21F0"/>
    <w:rsid w:val="5B187469"/>
    <w:rsid w:val="63272A02"/>
    <w:rsid w:val="647A412F"/>
    <w:rsid w:val="648977CE"/>
    <w:rsid w:val="67BC6C21"/>
    <w:rsid w:val="70227EC6"/>
    <w:rsid w:val="7471779C"/>
    <w:rsid w:val="75DE13C5"/>
    <w:rsid w:val="76880357"/>
    <w:rsid w:val="782D7408"/>
    <w:rsid w:val="792B5F58"/>
    <w:rsid w:val="7B3A4316"/>
    <w:rsid w:val="7BD33424"/>
    <w:rsid w:val="7EB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</Words>
  <Characters>457</Characters>
  <Lines>1</Lines>
  <Paragraphs>1</Paragraphs>
  <TotalTime>79</TotalTime>
  <ScaleCrop>false</ScaleCrop>
  <LinksUpToDate>false</LinksUpToDate>
  <CharactersWithSpaces>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2024-12-10T04:31:00Z</dcterms:created>
  <dc:creator>Lenovo</dc:creator>
  <cp:lastModifiedBy>吴宇璐</cp:lastModifiedBy>
  <cp:lastPrinted>2025-10-14T03:22:29Z</cp:lastPrinted>
  <dcterms:modified xsi:type="dcterms:W3CDTF">2025-10-14T03:40:23Z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eyJoZGlkIjoiZjZlNzliNDM2ZDE2ZTJhZDVkOTFlZGVlYmQ5ZGY3ODQiLCJ1c2VySWQiOiIxMjE0NDczNTkzIn0=</vt:lpwstr>
  </property>
  <property fmtid="{D5CDD505-2E9C-101B-9397-08002B2CF9AE}" pid="4" name="ICV">
    <vt:lpwstr>CEF9618155514031BB2580EAC4639E46_12</vt:lpwstr>
  </property>
</Properties>
</file>