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r>
        <w:rPr>
          <w:rFonts w:hint="eastAsia" w:cs="宋体" w:asciiTheme="majorEastAsia" w:hAnsiTheme="majorEastAsia" w:eastAsiaTheme="majorEastAsia"/>
          <w:b/>
          <w:color w:val="auto"/>
          <w:kern w:val="0"/>
          <w:sz w:val="44"/>
          <w:szCs w:val="44"/>
          <w:highlight w:val="none"/>
          <w:lang w:eastAsia="zh-CN"/>
        </w:rPr>
        <w:t>环境影响评价咨询</w:t>
      </w:r>
      <w:r>
        <w:rPr>
          <w:rFonts w:hint="eastAsia" w:cs="宋体" w:asciiTheme="majorEastAsia" w:hAnsiTheme="majorEastAsia" w:eastAsiaTheme="majorEastAsia"/>
          <w:b/>
          <w:color w:val="auto"/>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inorEastAsia" w:hAnsiTheme="minorEastAsia"/>
          <w:b/>
          <w:color w:val="auto"/>
          <w:kern w:val="36"/>
          <w:sz w:val="84"/>
          <w:szCs w:val="84"/>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5</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17</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kern w:val="36"/>
          <w:sz w:val="28"/>
          <w:szCs w:val="28"/>
          <w:highlight w:val="none"/>
        </w:rPr>
      </w:pPr>
    </w:p>
    <w:sdt>
      <w:sdtPr>
        <w:rPr>
          <w:rFonts w:hint="eastAsia" w:asciiTheme="minorEastAsia" w:hAnsiTheme="minorEastAsia" w:eastAsiaTheme="minorEastAsia" w:cstheme="minorEastAsia"/>
          <w:color w:val="auto"/>
          <w:kern w:val="2"/>
          <w:sz w:val="28"/>
          <w:szCs w:val="28"/>
          <w:lang w:val="en-US" w:eastAsia="zh-CN" w:bidi="ar-SA"/>
        </w:rPr>
        <w:id w:val="147469313"/>
        <w15:color w:val="DBDBDB"/>
        <w:docPartObj>
          <w:docPartGallery w:val="Table of Contents"/>
          <w:docPartUnique/>
        </w:docPartObj>
      </w:sdtPr>
      <w:sdtEndPr>
        <w:rPr>
          <w:rFonts w:hint="eastAsia" w:asciiTheme="minorEastAsia" w:hAnsiTheme="minorEastAsia" w:eastAsiaTheme="minorEastAsia" w:cstheme="minorEastAsia"/>
          <w:color w:val="auto"/>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sz w:val="28"/>
              <w:szCs w:val="28"/>
            </w:rPr>
          </w:pPr>
          <w:bookmarkStart w:id="0" w:name="_Toc13305_WPSOffice_Type1"/>
          <w:r>
            <w:rPr>
              <w:rFonts w:hint="eastAsia" w:asciiTheme="minorEastAsia" w:hAnsiTheme="minorEastAsia" w:eastAsiaTheme="minorEastAsia" w:cstheme="minorEastAsia"/>
              <w:color w:val="auto"/>
              <w:sz w:val="28"/>
              <w:szCs w:val="28"/>
            </w:rPr>
            <w:t>目录</w:t>
          </w:r>
        </w:p>
        <w:p>
          <w:pPr>
            <w:pStyle w:val="21"/>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_Toc11115_WPSOffice_Level1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69313"/>
              <w:placeholder>
                <w:docPart w:val="{120c79fb-c633-4b59-9510-e15a84af7a6e}"/>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第一章 比选公告</w:t>
              </w:r>
            </w:sdtContent>
          </w:sdt>
          <w:r>
            <w:rPr>
              <w:rFonts w:hint="eastAsia" w:asciiTheme="minorEastAsia" w:hAnsiTheme="minorEastAsia" w:eastAsiaTheme="minorEastAsia" w:cstheme="minorEastAsia"/>
              <w:color w:val="auto"/>
              <w:sz w:val="28"/>
              <w:szCs w:val="28"/>
            </w:rPr>
            <w:tab/>
          </w:r>
          <w:bookmarkStart w:id="1" w:name="_Toc11115_WPSOffice_Level1Page"/>
          <w:r>
            <w:rPr>
              <w:rFonts w:hint="eastAsia" w:asciiTheme="minorEastAsia" w:hAnsiTheme="minorEastAsia" w:eastAsiaTheme="minorEastAsia" w:cstheme="minorEastAsia"/>
              <w:color w:val="auto"/>
              <w:sz w:val="28"/>
              <w:szCs w:val="28"/>
            </w:rPr>
            <w:t>2</w:t>
          </w:r>
          <w:bookmarkEnd w:id="1"/>
          <w:r>
            <w:rPr>
              <w:rFonts w:hint="eastAsia" w:asciiTheme="minorEastAsia" w:hAnsiTheme="minorEastAsia" w:eastAsiaTheme="minorEastAsia" w:cstheme="minorEastAsia"/>
              <w:color w:val="auto"/>
              <w:sz w:val="28"/>
              <w:szCs w:val="28"/>
            </w:rPr>
            <w:fldChar w:fldCharType="end"/>
          </w:r>
        </w:p>
        <w:p>
          <w:pPr>
            <w:pStyle w:val="21"/>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_Toc13305_WPSOffice_Level1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69313"/>
              <w:placeholder>
                <w:docPart w:val="{a7761140-ad93-4bd4-bee6-9cc23cecfa55}"/>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第二章  响应人须知</w:t>
              </w:r>
            </w:sdtContent>
          </w:sdt>
          <w:r>
            <w:rPr>
              <w:rFonts w:hint="eastAsia" w:asciiTheme="minorEastAsia" w:hAnsiTheme="minorEastAsia" w:eastAsiaTheme="minorEastAsia" w:cstheme="minorEastAsia"/>
              <w:color w:val="auto"/>
              <w:sz w:val="28"/>
              <w:szCs w:val="28"/>
            </w:rPr>
            <w:tab/>
          </w:r>
          <w:bookmarkStart w:id="2" w:name="_Toc13305_WPSOffice_Level1Page"/>
          <w:r>
            <w:rPr>
              <w:rFonts w:hint="eastAsia" w:asciiTheme="minorEastAsia" w:hAnsiTheme="minorEastAsia" w:eastAsiaTheme="minorEastAsia" w:cstheme="minorEastAsia"/>
              <w:color w:val="auto"/>
              <w:sz w:val="28"/>
              <w:szCs w:val="28"/>
            </w:rPr>
            <w:t>6</w:t>
          </w:r>
          <w:bookmarkEnd w:id="2"/>
          <w:r>
            <w:rPr>
              <w:rFonts w:hint="eastAsia" w:asciiTheme="minorEastAsia" w:hAnsiTheme="minorEastAsia" w:eastAsiaTheme="minorEastAsia" w:cstheme="minorEastAsia"/>
              <w:color w:val="auto"/>
              <w:sz w:val="28"/>
              <w:szCs w:val="28"/>
            </w:rPr>
            <w:fldChar w:fldCharType="end"/>
          </w:r>
        </w:p>
        <w:p>
          <w:pPr>
            <w:pStyle w:val="21"/>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_Toc8038_WPSOffice_Level1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69313"/>
              <w:placeholder>
                <w:docPart w:val="{b8aef261-04a9-43a7-9ecd-1591f7dad37e}"/>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第三章 环境影响评价咨询服务企业入库协议</w:t>
              </w:r>
            </w:sdtContent>
          </w:sdt>
          <w:r>
            <w:rPr>
              <w:rFonts w:hint="eastAsia" w:asciiTheme="minorEastAsia" w:hAnsiTheme="minorEastAsia" w:eastAsiaTheme="minorEastAsia" w:cstheme="minorEastAsia"/>
              <w:color w:val="auto"/>
              <w:sz w:val="28"/>
              <w:szCs w:val="28"/>
            </w:rPr>
            <w:tab/>
          </w:r>
          <w:bookmarkStart w:id="3" w:name="_Toc8038_WPSOffice_Level1Page"/>
          <w:r>
            <w:rPr>
              <w:rFonts w:hint="eastAsia" w:asciiTheme="minorEastAsia" w:hAnsiTheme="minorEastAsia" w:eastAsiaTheme="minorEastAsia" w:cstheme="minorEastAsia"/>
              <w:color w:val="auto"/>
              <w:sz w:val="28"/>
              <w:szCs w:val="28"/>
            </w:rPr>
            <w:t>11</w:t>
          </w:r>
          <w:bookmarkEnd w:id="3"/>
          <w:r>
            <w:rPr>
              <w:rFonts w:hint="eastAsia" w:asciiTheme="minorEastAsia" w:hAnsiTheme="minorEastAsia" w:eastAsiaTheme="minorEastAsia" w:cstheme="minorEastAsia"/>
              <w:color w:val="auto"/>
              <w:sz w:val="28"/>
              <w:szCs w:val="28"/>
            </w:rPr>
            <w:fldChar w:fldCharType="end"/>
          </w:r>
        </w:p>
        <w:p>
          <w:pPr>
            <w:pStyle w:val="21"/>
            <w:tabs>
              <w:tab w:val="right" w:leader="dot" w:pos="9185"/>
            </w:tabs>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_Toc26802_WPSOffice_Level1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69313"/>
              <w:placeholder>
                <w:docPart w:val="{eaa1bfe6-9454-4536-80ff-44d69eb92bc6}"/>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第四章  响应性文件格式</w:t>
              </w:r>
            </w:sdtContent>
          </w:sdt>
          <w:r>
            <w:rPr>
              <w:rFonts w:hint="eastAsia" w:asciiTheme="minorEastAsia" w:hAnsiTheme="minorEastAsia" w:eastAsiaTheme="minorEastAsia" w:cstheme="minorEastAsia"/>
              <w:color w:val="auto"/>
              <w:sz w:val="28"/>
              <w:szCs w:val="28"/>
            </w:rPr>
            <w:tab/>
          </w:r>
          <w:bookmarkStart w:id="4" w:name="_Toc26802_WPSOffice_Level1Page"/>
          <w:r>
            <w:rPr>
              <w:rFonts w:hint="eastAsia" w:asciiTheme="minorEastAsia" w:hAnsiTheme="minorEastAsia" w:eastAsiaTheme="minorEastAsia" w:cstheme="minorEastAsia"/>
              <w:color w:val="auto"/>
              <w:sz w:val="28"/>
              <w:szCs w:val="28"/>
            </w:rPr>
            <w:t>14</w:t>
          </w:r>
          <w:bookmarkEnd w:id="4"/>
          <w:r>
            <w:rPr>
              <w:rFonts w:hint="eastAsia" w:asciiTheme="minorEastAsia" w:hAnsiTheme="minorEastAsia" w:eastAsiaTheme="minorEastAsia" w:cstheme="minorEastAsia"/>
              <w:color w:val="auto"/>
              <w:sz w:val="28"/>
              <w:szCs w:val="28"/>
            </w:rPr>
            <w:fldChar w:fldCharType="end"/>
          </w:r>
        </w:p>
        <w:p>
          <w:pPr>
            <w:pStyle w:val="21"/>
            <w:tabs>
              <w:tab w:val="right" w:leader="dot" w:pos="9185"/>
            </w:tabs>
            <w:rPr>
              <w:color w:val="auto"/>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\l _Toc11523_WPSOffice_Level1 </w:instrText>
          </w:r>
          <w:r>
            <w:rPr>
              <w:rFonts w:hint="eastAsia" w:asciiTheme="minorEastAsia" w:hAnsiTheme="minorEastAsia" w:eastAsiaTheme="minorEastAsia" w:cstheme="minorEastAsia"/>
              <w:color w:val="auto"/>
              <w:sz w:val="28"/>
              <w:szCs w:val="28"/>
            </w:rPr>
            <w:fldChar w:fldCharType="separate"/>
          </w:r>
          <w:sdt>
            <w:sdtPr>
              <w:rPr>
                <w:rFonts w:hint="eastAsia" w:asciiTheme="minorEastAsia" w:hAnsiTheme="minorEastAsia" w:eastAsiaTheme="minorEastAsia" w:cstheme="minorEastAsia"/>
                <w:color w:val="auto"/>
                <w:kern w:val="2"/>
                <w:sz w:val="28"/>
                <w:szCs w:val="28"/>
                <w:lang w:val="en-US" w:eastAsia="zh-CN" w:bidi="ar-SA"/>
              </w:rPr>
              <w:id w:val="147469313"/>
              <w:placeholder>
                <w:docPart w:val="{8b72fa6b-3ddf-40f1-936f-095e863063a5}"/>
              </w:placeholder>
              <w15:color w:val="509DF3"/>
            </w:sdtPr>
            <w:sdtEndPr>
              <w:rPr>
                <w:rFonts w:hint="eastAsia" w:asciiTheme="minorEastAsia" w:hAnsiTheme="minorEastAsia" w:eastAsiaTheme="minorEastAsia" w:cstheme="minorEastAsia"/>
                <w:color w:val="auto"/>
                <w:kern w:val="2"/>
                <w:sz w:val="28"/>
                <w:szCs w:val="28"/>
                <w:lang w:val="en-US" w:eastAsia="zh-CN" w:bidi="ar-SA"/>
              </w:rPr>
            </w:sdtEndPr>
            <w:sdtContent>
              <w:r>
                <w:rPr>
                  <w:rFonts w:hint="eastAsia" w:asciiTheme="minorEastAsia" w:hAnsiTheme="minorEastAsia" w:eastAsiaTheme="minorEastAsia" w:cstheme="minorEastAsia"/>
                  <w:color w:val="auto"/>
                  <w:sz w:val="28"/>
                  <w:szCs w:val="28"/>
                </w:rPr>
                <w:t>第五章  评审办法</w:t>
              </w:r>
            </w:sdtContent>
          </w:sdt>
          <w:r>
            <w:rPr>
              <w:rFonts w:hint="eastAsia" w:asciiTheme="minorEastAsia" w:hAnsiTheme="minorEastAsia" w:eastAsiaTheme="minorEastAsia" w:cstheme="minorEastAsia"/>
              <w:color w:val="auto"/>
              <w:sz w:val="28"/>
              <w:szCs w:val="28"/>
            </w:rPr>
            <w:tab/>
          </w:r>
          <w:bookmarkStart w:id="5" w:name="_Toc11523_WPSOffice_Level1Page"/>
          <w:r>
            <w:rPr>
              <w:rFonts w:hint="eastAsia" w:asciiTheme="minorEastAsia" w:hAnsiTheme="minorEastAsia" w:eastAsiaTheme="minorEastAsia" w:cstheme="minorEastAsia"/>
              <w:color w:val="auto"/>
              <w:sz w:val="28"/>
              <w:szCs w:val="28"/>
            </w:rPr>
            <w:t>22</w:t>
          </w:r>
          <w:bookmarkEnd w:id="5"/>
          <w:r>
            <w:rPr>
              <w:rFonts w:hint="eastAsia" w:asciiTheme="minorEastAsia" w:hAnsiTheme="minorEastAsia" w:eastAsiaTheme="minorEastAsia" w:cstheme="minorEastAsia"/>
              <w:color w:val="auto"/>
              <w:sz w:val="28"/>
              <w:szCs w:val="28"/>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pStyle w:val="2"/>
        <w:numPr>
          <w:ilvl w:val="0"/>
          <w:numId w:val="1"/>
        </w:numPr>
        <w:bidi w:val="0"/>
        <w:rPr>
          <w:color w:val="auto"/>
        </w:rPr>
      </w:pPr>
      <w:bookmarkStart w:id="6" w:name="_Toc11115_WPSOffice_Level1"/>
      <w:r>
        <w:rPr>
          <w:rFonts w:hint="eastAsia"/>
          <w:color w:val="auto"/>
        </w:rPr>
        <w:t>比选公告</w:t>
      </w:r>
      <w:bookmarkEnd w:id="6"/>
    </w:p>
    <w:p>
      <w:pPr>
        <w:pStyle w:val="18"/>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36"/>
          <w:sz w:val="28"/>
          <w:szCs w:val="28"/>
          <w:highlight w:val="none"/>
          <w:lang w:eastAsia="zh-CN"/>
        </w:rPr>
        <w:t>环境影响评价技术咨询服务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lang w:val="en-US" w:eastAsia="zh-CN"/>
        </w:rPr>
        <w:t>入</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库，根据《中华人民共和国招标投标法》等相关法律法规的规定，按照公开、公平、公正的原则，进行</w:t>
      </w:r>
      <w:r>
        <w:rPr>
          <w:rFonts w:hint="eastAsia" w:cs="宋体" w:asciiTheme="minorEastAsia" w:hAnsiTheme="minorEastAsia"/>
          <w:color w:val="auto"/>
          <w:kern w:val="36"/>
          <w:sz w:val="28"/>
          <w:szCs w:val="28"/>
          <w:highlight w:val="none"/>
          <w:lang w:eastAsia="zh-CN"/>
        </w:rPr>
        <w:t>环境影响评价技术咨询服务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入库比选。欢迎符合条件的企业或单位积极参加。</w:t>
      </w:r>
    </w:p>
    <w:p>
      <w:pPr>
        <w:bidi w:val="0"/>
        <w:rPr>
          <w:color w:val="auto"/>
          <w:sz w:val="28"/>
          <w:szCs w:val="28"/>
        </w:rPr>
      </w:pPr>
      <w:r>
        <w:rPr>
          <w:rFonts w:hint="eastAsia"/>
          <w:color w:val="auto"/>
          <w:sz w:val="28"/>
          <w:szCs w:val="28"/>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36"/>
          <w:sz w:val="28"/>
          <w:szCs w:val="28"/>
          <w:highlight w:val="none"/>
          <w:lang w:eastAsia="zh-CN"/>
        </w:rPr>
        <w:t>环境影响评价技术咨询服务</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bidi w:val="0"/>
        <w:rPr>
          <w:color w:val="auto"/>
          <w:sz w:val="28"/>
          <w:szCs w:val="28"/>
        </w:rPr>
      </w:pPr>
      <w:r>
        <w:rPr>
          <w:rFonts w:hint="eastAsia"/>
          <w:color w:val="auto"/>
          <w:sz w:val="28"/>
          <w:szCs w:val="28"/>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eastAsiaTheme="minorEastAsia"/>
          <w:color w:val="auto"/>
          <w:sz w:val="28"/>
          <w:szCs w:val="28"/>
          <w:highlight w:val="none"/>
          <w:lang w:eastAsia="zh-CN"/>
        </w:rPr>
      </w:pPr>
      <w:r>
        <w:rPr>
          <w:rFonts w:hint="eastAsia" w:ascii="宋体" w:hAnsi="宋体" w:cs="宋体"/>
          <w:color w:val="auto"/>
          <w:sz w:val="28"/>
          <w:szCs w:val="28"/>
          <w:highlight w:val="none"/>
          <w:lang w:eastAsia="zh-CN"/>
        </w:rPr>
        <w:t>（二）资质要求：</w:t>
      </w:r>
      <w:r>
        <w:rPr>
          <w:rFonts w:hint="eastAsia" w:cs="宋体" w:asciiTheme="minorEastAsia" w:hAnsiTheme="minorEastAsia"/>
          <w:color w:val="auto"/>
          <w:kern w:val="36"/>
          <w:sz w:val="28"/>
          <w:szCs w:val="28"/>
          <w:highlight w:val="none"/>
          <w:lang w:eastAsia="zh-CN"/>
        </w:rPr>
        <w:t>具有行政主管部门颁发的建设项目环境影响评价乙级及以上资质。</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Theme="minorEastAsia" w:hAnsiTheme="minorEastAsia"/>
          <w:color w:val="auto"/>
          <w:sz w:val="28"/>
          <w:szCs w:val="28"/>
          <w:highlight w:val="none"/>
          <w:lang w:eastAsia="zh-CN"/>
        </w:rPr>
        <w:t>环境影响评价技术咨询服务</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bidi w:val="0"/>
        <w:rPr>
          <w:rFonts w:hint="eastAsia"/>
          <w:color w:val="auto"/>
          <w:sz w:val="28"/>
          <w:szCs w:val="28"/>
        </w:rPr>
      </w:pPr>
      <w:r>
        <w:rPr>
          <w:rFonts w:hint="eastAsia"/>
          <w:color w:val="auto"/>
          <w:sz w:val="28"/>
          <w:szCs w:val="28"/>
        </w:rPr>
        <w:t>三、比选文件的获取</w:t>
      </w:r>
    </w:p>
    <w:p>
      <w:pPr>
        <w:widowControl/>
        <w:numPr>
          <w:ilvl w:val="0"/>
          <w:numId w:val="0"/>
        </w:numPr>
        <w:shd w:val="clear" w:color="auto" w:fill="FFFFFF"/>
        <w:spacing w:before="150" w:after="150" w:line="560" w:lineRule="exact"/>
        <w:ind w:firstLine="840" w:firstLineChars="30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于2019年5月</w:t>
      </w:r>
      <w:r>
        <w:rPr>
          <w:rFonts w:hint="eastAsia" w:asciiTheme="minorEastAsia" w:hAnsiTheme="minorEastAsia" w:cstheme="minorEastAsia"/>
          <w:color w:val="auto"/>
          <w:kern w:val="0"/>
          <w:sz w:val="28"/>
          <w:szCs w:val="28"/>
          <w:highlight w:val="none"/>
          <w:lang w:val="en-US" w:eastAsia="zh-CN"/>
        </w:rPr>
        <w:t>17</w:t>
      </w:r>
      <w:r>
        <w:rPr>
          <w:rFonts w:hint="eastAsia" w:asciiTheme="minorEastAsia" w:hAnsiTheme="minorEastAsia" w:eastAsiaTheme="minorEastAsia" w:cstheme="minorEastAsia"/>
          <w:color w:val="auto"/>
          <w:kern w:val="0"/>
          <w:sz w:val="28"/>
          <w:szCs w:val="28"/>
          <w:highlight w:val="none"/>
          <w:lang w:val="en-US" w:eastAsia="zh-CN"/>
        </w:rPr>
        <w:t>日至2019年5月</w:t>
      </w:r>
      <w:r>
        <w:rPr>
          <w:rFonts w:hint="eastAsia" w:asciiTheme="minorEastAsia" w:hAnsiTheme="minorEastAsia" w:cstheme="minorEastAsia"/>
          <w:color w:val="auto"/>
          <w:kern w:val="0"/>
          <w:sz w:val="28"/>
          <w:szCs w:val="28"/>
          <w:highlight w:val="none"/>
          <w:lang w:val="en-US" w:eastAsia="zh-CN"/>
        </w:rPr>
        <w:t>21</w:t>
      </w:r>
      <w:r>
        <w:rPr>
          <w:rFonts w:hint="eastAsia" w:asciiTheme="minorEastAsia" w:hAnsiTheme="minorEastAsia" w:eastAsiaTheme="minorEastAsia" w:cstheme="minorEastAsia"/>
          <w:color w:val="auto"/>
          <w:kern w:val="0"/>
          <w:sz w:val="28"/>
          <w:szCs w:val="28"/>
          <w:highlight w:val="none"/>
          <w:lang w:val="en-US" w:eastAsia="zh-CN"/>
        </w:rPr>
        <w:t>日</w:t>
      </w:r>
      <w:r>
        <w:rPr>
          <w:rFonts w:hint="eastAsia" w:asciiTheme="minorEastAsia" w:hAnsiTheme="minorEastAsia" w:eastAsiaTheme="minorEastAsia" w:cstheme="minorEastAsia"/>
          <w:color w:val="auto"/>
          <w:kern w:val="0"/>
          <w:sz w:val="28"/>
          <w:szCs w:val="28"/>
          <w:highlight w:val="none"/>
        </w:rPr>
        <w:t>在雅安交通建设（集团）有限责任公司官方网站（网址：</w:t>
      </w:r>
      <w:r>
        <w:rPr>
          <w:rFonts w:hint="eastAsia" w:asciiTheme="minorEastAsia" w:hAnsiTheme="minorEastAsia" w:eastAsiaTheme="minorEastAsia" w:cstheme="minorEastAsia"/>
          <w:color w:val="auto"/>
          <w:kern w:val="0"/>
          <w:sz w:val="28"/>
          <w:szCs w:val="28"/>
          <w:highlight w:val="none"/>
        </w:rPr>
        <w:fldChar w:fldCharType="begin"/>
      </w:r>
      <w:r>
        <w:rPr>
          <w:rFonts w:hint="eastAsia" w:asciiTheme="minorEastAsia" w:hAnsiTheme="minorEastAsia" w:eastAsiaTheme="minorEastAsia" w:cstheme="minorEastAsia"/>
          <w:color w:val="auto"/>
          <w:kern w:val="0"/>
          <w:sz w:val="28"/>
          <w:szCs w:val="28"/>
          <w:highlight w:val="none"/>
        </w:rPr>
        <w:instrText xml:space="preserve"> HYPERLINK "http://www.yajjjt.com）自行下载。" </w:instrText>
      </w:r>
      <w:r>
        <w:rPr>
          <w:rFonts w:hint="eastAsia" w:asciiTheme="minorEastAsia" w:hAnsiTheme="minorEastAsia" w:eastAsiaTheme="minorEastAsia" w:cstheme="minorEastAsia"/>
          <w:color w:val="auto"/>
          <w:kern w:val="0"/>
          <w:sz w:val="28"/>
          <w:szCs w:val="28"/>
          <w:highlight w:val="none"/>
        </w:rPr>
        <w:fldChar w:fldCharType="separate"/>
      </w:r>
      <w:r>
        <w:rPr>
          <w:rFonts w:hint="eastAsia" w:asciiTheme="minorEastAsia" w:hAnsiTheme="minorEastAsia" w:eastAsiaTheme="minorEastAsia" w:cstheme="minorEastAsia"/>
          <w:color w:val="auto"/>
          <w:kern w:val="0"/>
          <w:sz w:val="28"/>
          <w:szCs w:val="28"/>
          <w:highlight w:val="none"/>
        </w:rPr>
        <w:t>www.yajjjt.com）自行下载。</w:t>
      </w:r>
      <w:r>
        <w:rPr>
          <w:rFonts w:hint="eastAsia" w:asciiTheme="minorEastAsia" w:hAnsiTheme="minorEastAsia" w:eastAsiaTheme="minorEastAsia" w:cstheme="minorEastAsia"/>
          <w:color w:val="auto"/>
          <w:kern w:val="0"/>
          <w:sz w:val="28"/>
          <w:szCs w:val="28"/>
          <w:highlight w:val="none"/>
        </w:rPr>
        <w:fldChar w:fldCharType="end"/>
      </w:r>
    </w:p>
    <w:p>
      <w:pPr>
        <w:bidi w:val="0"/>
        <w:rPr>
          <w:rFonts w:hint="eastAsia"/>
          <w:color w:val="auto"/>
          <w:sz w:val="28"/>
          <w:szCs w:val="28"/>
        </w:rPr>
      </w:pPr>
      <w:r>
        <w:rPr>
          <w:rFonts w:hint="eastAsia"/>
          <w:color w:val="auto"/>
          <w:sz w:val="28"/>
          <w:szCs w:val="28"/>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合格法。</w:t>
      </w:r>
    </w:p>
    <w:p>
      <w:pPr>
        <w:bidi w:val="0"/>
        <w:rPr>
          <w:rFonts w:hint="eastAsia"/>
          <w:color w:val="auto"/>
          <w:sz w:val="28"/>
          <w:szCs w:val="28"/>
        </w:rPr>
      </w:pPr>
      <w:r>
        <w:rPr>
          <w:rFonts w:hint="eastAsia"/>
          <w:color w:val="auto"/>
          <w:sz w:val="28"/>
          <w:szCs w:val="28"/>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09</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eastAsia="zh-CN"/>
        </w:rPr>
        <w:t>雅安市雨城区北环东路98号雅安康居工程管理有限公司三楼。</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（四）逾期送达的、未送达指定地点的或者不按照入库响应文件编制要求密封的响应文件，比选人将予以拒收。</w:t>
      </w:r>
    </w:p>
    <w:p>
      <w:pPr>
        <w:bidi w:val="0"/>
        <w:rPr>
          <w:rFonts w:hint="default"/>
          <w:color w:val="auto"/>
          <w:sz w:val="28"/>
          <w:szCs w:val="28"/>
          <w:lang w:val="en-US" w:eastAsia="zh-CN"/>
        </w:rPr>
      </w:pPr>
      <w:r>
        <w:rPr>
          <w:rFonts w:hint="eastAsia"/>
          <w:color w:val="auto"/>
          <w:sz w:val="28"/>
          <w:szCs w:val="28"/>
        </w:rPr>
        <w:t>六、比选保证金</w:t>
      </w:r>
      <w:r>
        <w:rPr>
          <w:rFonts w:hint="eastAsia"/>
          <w:color w:val="auto"/>
          <w:sz w:val="28"/>
          <w:szCs w:val="28"/>
          <w:lang w:eastAsia="zh-CN"/>
        </w:rPr>
        <w:t>和履约保证金</w:t>
      </w:r>
    </w:p>
    <w:p>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凡有意申请入库的响应人，须为本次比选缴纳比选保证金</w:t>
      </w:r>
      <w:r>
        <w:rPr>
          <w:rFonts w:hint="eastAsia" w:asciiTheme="minorEastAsia" w:hAnsiTheme="minorEastAsia" w:eastAsiaTheme="minorEastAsia" w:cstheme="minorEastAsia"/>
          <w:color w:val="auto"/>
          <w:sz w:val="28"/>
          <w:szCs w:val="28"/>
          <w:highlight w:val="none"/>
          <w:lang w:val="en-US" w:eastAsia="zh-CN"/>
        </w:rPr>
        <w:t>10000</w:t>
      </w:r>
      <w:r>
        <w:rPr>
          <w:rFonts w:hint="eastAsia" w:asciiTheme="minorEastAsia" w:hAnsiTheme="minorEastAsia" w:eastAsiaTheme="minorEastAsia" w:cstheme="minorEastAsia"/>
          <w:color w:val="auto"/>
          <w:sz w:val="28"/>
          <w:szCs w:val="28"/>
          <w:highlight w:val="none"/>
        </w:rPr>
        <w:t>元</w:t>
      </w:r>
      <w:r>
        <w:rPr>
          <w:rFonts w:hint="eastAsia" w:asciiTheme="minorEastAsia" w:hAnsiTheme="minorEastAsia" w:eastAsiaTheme="minorEastAsia" w:cstheme="minorEastAsia"/>
          <w:color w:val="auto"/>
          <w:sz w:val="28"/>
          <w:szCs w:val="28"/>
          <w:highlight w:val="none"/>
          <w:lang w:eastAsia="zh-CN"/>
        </w:rPr>
        <w:t>（大写：壹万元整）</w:t>
      </w:r>
      <w:r>
        <w:rPr>
          <w:rFonts w:hint="eastAsia" w:asciiTheme="minorEastAsia" w:hAnsiTheme="minorEastAsia" w:eastAsiaTheme="minorEastAsia" w:cstheme="minorEastAsia"/>
          <w:color w:val="auto"/>
          <w:sz w:val="28"/>
          <w:szCs w:val="28"/>
          <w:highlight w:val="none"/>
        </w:rPr>
        <w:t>，以对此次参选提供的资料履行诚信义务提供保证</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在公示期结束并无异议后，未入库的响应人，将在公示期结束后7个工作日内，无息全额退还。入库单位比选保证金自动转为履约保证金，</w:t>
      </w:r>
      <w:r>
        <w:rPr>
          <w:rFonts w:hint="eastAsia" w:asciiTheme="minorEastAsia" w:hAnsiTheme="minorEastAsia" w:eastAsiaTheme="minorEastAsia" w:cstheme="minorEastAsia"/>
          <w:color w:val="auto"/>
          <w:sz w:val="28"/>
          <w:szCs w:val="28"/>
          <w:highlight w:val="none"/>
          <w:lang w:eastAsia="zh-CN"/>
        </w:rPr>
        <w:t>合作期内</w:t>
      </w:r>
      <w:r>
        <w:rPr>
          <w:rFonts w:hint="eastAsia" w:asciiTheme="minorEastAsia" w:hAnsiTheme="minorEastAsia" w:eastAsiaTheme="minorEastAsia" w:cstheme="minorEastAsia"/>
          <w:color w:val="auto"/>
          <w:sz w:val="28"/>
          <w:szCs w:val="28"/>
          <w:highlight w:val="none"/>
        </w:rPr>
        <w:t>无违约和不诚信行为</w:t>
      </w:r>
      <w:r>
        <w:rPr>
          <w:rFonts w:hint="eastAsia" w:asciiTheme="minorEastAsia" w:hAnsiTheme="minorEastAsia" w:eastAsiaTheme="minorEastAsia" w:cstheme="minorEastAsia"/>
          <w:color w:val="auto"/>
          <w:sz w:val="28"/>
          <w:szCs w:val="28"/>
          <w:highlight w:val="none"/>
          <w:lang w:eastAsia="zh-CN"/>
        </w:rPr>
        <w:t>，合作期满后</w:t>
      </w:r>
      <w:r>
        <w:rPr>
          <w:rFonts w:hint="eastAsia" w:asciiTheme="minorEastAsia" w:hAnsiTheme="minorEastAsia" w:eastAsiaTheme="minorEastAsia" w:cstheme="minorEastAsia"/>
          <w:color w:val="auto"/>
          <w:sz w:val="28"/>
          <w:szCs w:val="28"/>
          <w:highlight w:val="none"/>
        </w:rPr>
        <w:t>全额无息退还</w:t>
      </w:r>
      <w:r>
        <w:rPr>
          <w:rFonts w:hint="eastAsia" w:asciiTheme="minorEastAsia" w:hAnsiTheme="minorEastAsia" w:eastAsiaTheme="minorEastAsia" w:cstheme="minorEastAsia"/>
          <w:color w:val="auto"/>
          <w:sz w:val="28"/>
          <w:szCs w:val="28"/>
          <w:highlight w:val="none"/>
          <w:lang w:eastAsia="zh-CN"/>
        </w:rPr>
        <w:t>。合作期内</w:t>
      </w:r>
      <w:r>
        <w:rPr>
          <w:rFonts w:hint="eastAsia" w:asciiTheme="minorEastAsia" w:hAnsiTheme="minorEastAsia" w:eastAsiaTheme="minorEastAsia" w:cstheme="minorEastAsia"/>
          <w:color w:val="auto"/>
          <w:sz w:val="28"/>
          <w:szCs w:val="28"/>
          <w:highlight w:val="none"/>
        </w:rPr>
        <w:t>，如发现提供资料弄虚作假或不遵守</w:t>
      </w:r>
      <w:r>
        <w:rPr>
          <w:rFonts w:hint="eastAsia" w:asciiTheme="minorEastAsia" w:hAnsiTheme="minorEastAsia" w:eastAsiaTheme="minorEastAsia" w:cstheme="minorEastAsia"/>
          <w:color w:val="auto"/>
          <w:sz w:val="28"/>
          <w:szCs w:val="28"/>
          <w:highlight w:val="none"/>
          <w:lang w:val="en-US" w:eastAsia="zh-CN"/>
        </w:rPr>
        <w:t>入库</w:t>
      </w:r>
      <w:r>
        <w:rPr>
          <w:rFonts w:hint="eastAsia" w:asciiTheme="minorEastAsia" w:hAnsiTheme="minorEastAsia" w:eastAsiaTheme="minorEastAsia" w:cstheme="minorEastAsia"/>
          <w:color w:val="auto"/>
          <w:sz w:val="28"/>
          <w:szCs w:val="28"/>
          <w:highlight w:val="none"/>
        </w:rPr>
        <w:t>承诺，保证金不予退还，终止入库资格，并录入信用记录，以后取消参与雅安交通建设（集团）有限公司及其所有子（控股）公司合作资格。</w:t>
      </w:r>
    </w:p>
    <w:p>
      <w:pPr>
        <w:bidi w:val="0"/>
        <w:rPr>
          <w:rFonts w:hint="eastAsia"/>
          <w:color w:val="auto"/>
          <w:sz w:val="28"/>
          <w:szCs w:val="28"/>
        </w:rPr>
      </w:pPr>
      <w:r>
        <w:rPr>
          <w:rFonts w:hint="eastAsia"/>
          <w:color w:val="auto"/>
          <w:sz w:val="28"/>
          <w:szCs w:val="28"/>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bidi w:val="0"/>
        <w:rPr>
          <w:rFonts w:hint="eastAsia"/>
          <w:color w:val="auto"/>
          <w:sz w:val="28"/>
          <w:szCs w:val="28"/>
        </w:rPr>
      </w:pPr>
      <w:r>
        <w:rPr>
          <w:rFonts w:hint="eastAsia"/>
          <w:color w:val="auto"/>
          <w:sz w:val="28"/>
          <w:szCs w:val="28"/>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五</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w:t>
      </w:r>
      <w:r>
        <w:rPr>
          <w:rFonts w:hint="eastAsia" w:cs="仿宋_GB2312" w:asciiTheme="minorEastAsia" w:hAnsiTheme="minorEastAsia"/>
          <w:color w:val="auto"/>
          <w:kern w:val="0"/>
          <w:sz w:val="28"/>
          <w:szCs w:val="28"/>
          <w:highlight w:val="none"/>
          <w:lang w:val="en-US" w:eastAsia="zh-CN"/>
        </w:rPr>
        <w:t>七</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pStyle w:val="2"/>
        <w:bidi w:val="0"/>
        <w:jc w:val="center"/>
        <w:rPr>
          <w:color w:val="auto"/>
        </w:rPr>
      </w:pPr>
      <w:bookmarkStart w:id="7" w:name="_Toc13305_WPSOffice_Level1"/>
      <w:r>
        <w:rPr>
          <w:rFonts w:hint="eastAsia"/>
          <w:color w:val="auto"/>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36"/>
                <w:sz w:val="24"/>
                <w:szCs w:val="24"/>
                <w:highlight w:val="none"/>
                <w:lang w:eastAsia="zh-CN"/>
              </w:rPr>
              <w:t>环境影响评价技术咨询服务</w:t>
            </w:r>
            <w:r>
              <w:rPr>
                <w:rFonts w:hint="eastAsia" w:cs="宋体" w:asciiTheme="minorEastAsia" w:hAnsiTheme="minorEastAsia"/>
                <w:color w:val="auto"/>
                <w:kern w:val="36"/>
                <w:sz w:val="24"/>
                <w:szCs w:val="24"/>
                <w:highlight w:val="none"/>
              </w:rPr>
              <w:t>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（二）资质要求：具有行政主管部门颁发的建设项目环境影响评价乙级及以上资质。</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三</w:t>
            </w:r>
            <w:r>
              <w:rPr>
                <w:rFonts w:hint="eastAsia" w:cs="宋体" w:asciiTheme="minorEastAsia" w:hAnsiTheme="minorEastAsia"/>
                <w:color w:val="auto"/>
                <w:kern w:val="0"/>
                <w:sz w:val="24"/>
                <w:szCs w:val="24"/>
                <w:highlight w:val="none"/>
              </w:rPr>
              <w:t>）响应人参加本次比选择活动应具备下列条件：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 xml:space="preserve">为法人或组织的，注册时间至文件递交截止日不足一年的，也可提供在工商备案的公司章程或财务制度（复印件）；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7、本项目不接受联合体参与本次比选。</w:t>
            </w:r>
            <w:bookmarkStart w:id="163" w:name="_GoBack"/>
            <w:bookmarkEnd w:id="163"/>
            <w:r>
              <w:rPr>
                <w:rFonts w:hint="eastAsia" w:cs="宋体" w:asciiTheme="minorEastAsia" w:hAnsiTheme="minorEastAsia"/>
                <w:color w:val="auto"/>
                <w:kern w:val="0"/>
                <w:sz w:val="24"/>
                <w:szCs w:val="24"/>
                <w:highlight w:val="none"/>
              </w:rPr>
              <w:t xml:space="preserve">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四</w:t>
            </w:r>
            <w:r>
              <w:rPr>
                <w:rFonts w:hint="eastAsia" w:cs="宋体" w:asciiTheme="minorEastAsia" w:hAnsiTheme="minorEastAsia"/>
                <w:color w:val="auto"/>
                <w:kern w:val="0"/>
                <w:sz w:val="24"/>
                <w:szCs w:val="24"/>
                <w:highlight w:val="none"/>
              </w:rPr>
              <w:t xml:space="preserve">）业绩要求：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2016年以来，</w:t>
            </w:r>
            <w:r>
              <w:rPr>
                <w:rFonts w:hint="eastAsia" w:cs="宋体" w:asciiTheme="minorEastAsia" w:hAnsiTheme="minorEastAsia"/>
                <w:color w:val="auto"/>
                <w:kern w:val="0"/>
                <w:sz w:val="24"/>
                <w:szCs w:val="24"/>
                <w:highlight w:val="none"/>
                <w:lang w:eastAsia="zh-CN"/>
              </w:rPr>
              <w:t>环境影响评价技术咨询服务</w:t>
            </w:r>
            <w:r>
              <w:rPr>
                <w:rFonts w:hint="eastAsia" w:cs="宋体" w:asciiTheme="minorEastAsia" w:hAnsiTheme="minorEastAsia"/>
                <w:color w:val="auto"/>
                <w:kern w:val="0"/>
                <w:sz w:val="24"/>
                <w:szCs w:val="24"/>
                <w:highlight w:val="none"/>
              </w:rPr>
              <w:t>项目业绩不少于3个（提供中标通知书或合同复印件）。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w:t>
            </w:r>
            <w:r>
              <w:rPr>
                <w:rFonts w:hint="eastAsia" w:cs="宋体" w:asciiTheme="minorEastAsia" w:hAnsiTheme="minorEastAsia"/>
                <w:color w:val="auto"/>
                <w:kern w:val="0"/>
                <w:sz w:val="24"/>
                <w:szCs w:val="24"/>
                <w:highlight w:val="none"/>
                <w:lang w:eastAsia="zh-CN"/>
              </w:rPr>
              <w:t>五</w:t>
            </w:r>
            <w:r>
              <w:rPr>
                <w:rFonts w:hint="eastAsia" w:cs="宋体" w:asciiTheme="minorEastAsia" w:hAnsiTheme="minorEastAsia"/>
                <w:color w:val="auto"/>
                <w:kern w:val="0"/>
                <w:sz w:val="24"/>
                <w:szCs w:val="24"/>
                <w:highlight w:val="none"/>
              </w:rPr>
              <w:t>）信誉要求：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1、响应人未处于禁止投标期内。</w:t>
            </w:r>
          </w:p>
          <w:p>
            <w:pPr>
              <w:widowControl/>
              <w:shd w:val="clear" w:color="auto" w:fill="FFFFFF"/>
              <w:spacing w:line="440" w:lineRule="exact"/>
              <w:jc w:val="left"/>
              <w:rPr>
                <w:rFonts w:cs="宋体" w:asciiTheme="minorEastAsia" w:hAnsiTheme="minorEastAsia"/>
                <w:color w:val="auto"/>
                <w:sz w:val="24"/>
                <w:szCs w:val="24"/>
                <w:highlight w:val="none"/>
              </w:rPr>
            </w:pPr>
            <w:r>
              <w:rPr>
                <w:rFonts w:hint="eastAsia" w:cs="宋体" w:asciiTheme="minorEastAsia" w:hAnsiTheme="minorEastAsia"/>
                <w:color w:val="auto"/>
                <w:kern w:val="0"/>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w:t>
            </w:r>
            <w:r>
              <w:rPr>
                <w:rFonts w:hint="eastAsia" w:cs="仿宋_GB2312" w:asciiTheme="minorEastAsia" w:hAnsiTheme="minorEastAsia"/>
                <w:color w:val="auto"/>
                <w:sz w:val="24"/>
                <w:szCs w:val="24"/>
                <w:highlight w:val="none"/>
                <w:lang w:eastAsia="zh-CN"/>
              </w:rPr>
              <w:t>比选</w:t>
            </w:r>
            <w:r>
              <w:rPr>
                <w:rFonts w:hint="eastAsia" w:cs="仿宋_GB2312" w:asciiTheme="minorEastAsia" w:hAnsiTheme="minorEastAsia"/>
                <w:color w:val="auto"/>
                <w:sz w:val="24"/>
                <w:szCs w:val="24"/>
                <w:highlight w:val="none"/>
              </w:rPr>
              <w:t>保证金的形式：</w:t>
            </w:r>
            <w:r>
              <w:rPr>
                <w:rFonts w:hint="eastAsia" w:cs="仿宋_GB2312" w:asciiTheme="minorEastAsia" w:hAnsiTheme="minorEastAsia"/>
                <w:color w:val="auto"/>
                <w:sz w:val="24"/>
                <w:szCs w:val="24"/>
                <w:highlight w:val="none"/>
                <w:lang w:val="zh-CN"/>
              </w:rPr>
              <w:t>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eastAsia="zh-CN"/>
              </w:rPr>
              <w:t>比选</w:t>
            </w:r>
            <w:r>
              <w:rPr>
                <w:rFonts w:hint="eastAsia" w:cs="仿宋_GB2312" w:asciiTheme="minorEastAsia" w:hAnsiTheme="minorEastAsia"/>
                <w:color w:val="auto"/>
                <w:sz w:val="24"/>
                <w:szCs w:val="24"/>
                <w:highlight w:val="none"/>
              </w:rPr>
              <w:t>保证金的金额：</w:t>
            </w:r>
            <w:r>
              <w:rPr>
                <w:rFonts w:hint="eastAsia" w:cs="仿宋_GB2312" w:asciiTheme="minorEastAsia" w:hAnsiTheme="minorEastAsia"/>
                <w:color w:val="auto"/>
                <w:sz w:val="24"/>
                <w:szCs w:val="24"/>
                <w:highlight w:val="none"/>
                <w:lang w:val="en-US" w:eastAsia="zh-CN"/>
              </w:rPr>
              <w:t>10000</w:t>
            </w:r>
            <w:r>
              <w:rPr>
                <w:rFonts w:hint="eastAsia" w:cs="仿宋_GB2312" w:asciiTheme="minorEastAsia" w:hAnsiTheme="minorEastAsia"/>
                <w:color w:val="auto"/>
                <w:sz w:val="24"/>
                <w:szCs w:val="24"/>
                <w:highlight w:val="none"/>
              </w:rPr>
              <w:t>元（大写：</w:t>
            </w:r>
            <w:r>
              <w:rPr>
                <w:rFonts w:hint="eastAsia" w:cs="仿宋_GB2312" w:asciiTheme="minorEastAsia" w:hAnsiTheme="minorEastAsia"/>
                <w:color w:val="auto"/>
                <w:sz w:val="24"/>
                <w:szCs w:val="24"/>
                <w:highlight w:val="none"/>
                <w:lang w:eastAsia="zh-CN"/>
              </w:rPr>
              <w:t>壹</w:t>
            </w:r>
            <w:r>
              <w:rPr>
                <w:rFonts w:hint="eastAsia" w:cs="仿宋_GB2312" w:asciiTheme="minorEastAsia" w:hAnsiTheme="minorEastAsia"/>
                <w:color w:val="auto"/>
                <w:sz w:val="24"/>
                <w:szCs w:val="24"/>
                <w:highlight w:val="none"/>
              </w:rPr>
              <w:t>万元整）□不要求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lang w:val="zh-CN"/>
              </w:rPr>
              <w:t xml:space="preserve">交款方式： </w:t>
            </w:r>
            <w:r>
              <w:rPr>
                <w:rFonts w:hint="eastAsia" w:cs="仿宋_GB2312" w:asciiTheme="minorEastAsia" w:hAnsiTheme="minorEastAsia"/>
                <w:color w:val="auto"/>
                <w:sz w:val="24"/>
                <w:szCs w:val="24"/>
                <w:highlight w:val="none"/>
              </w:rPr>
              <w:t>转账方式</w:t>
            </w:r>
          </w:p>
          <w:p>
            <w:pPr>
              <w:spacing w:line="440" w:lineRule="exact"/>
              <w:jc w:val="left"/>
              <w:rPr>
                <w:rFonts w:hint="eastAsia"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val="zh-CN"/>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lang w:val="en-US" w:eastAsia="zh-CN"/>
              </w:rPr>
            </w:pPr>
            <w:r>
              <w:rPr>
                <w:rFonts w:hint="eastAsia" w:cs="仿宋_GB2312" w:asciiTheme="minorEastAsia" w:hAnsiTheme="minorEastAsia"/>
                <w:color w:val="auto"/>
                <w:sz w:val="24"/>
                <w:szCs w:val="24"/>
                <w:highlight w:val="none"/>
                <w:lang w:val="zh-CN"/>
              </w:rPr>
              <w:t>开户行：</w:t>
            </w:r>
            <w:r>
              <w:rPr>
                <w:rFonts w:hint="eastAsia" w:cs="仿宋_GB2312" w:asciiTheme="minorEastAsia" w:hAnsiTheme="minorEastAsia"/>
                <w:color w:val="auto"/>
                <w:sz w:val="24"/>
                <w:szCs w:val="24"/>
                <w:highlight w:val="none"/>
                <w:lang w:val="en-US" w:eastAsia="zh-CN"/>
              </w:rPr>
              <w:t>中国工商银行股份有限公司雅安河北街支行</w:t>
            </w:r>
          </w:p>
          <w:p>
            <w:pPr>
              <w:spacing w:line="440" w:lineRule="exact"/>
              <w:jc w:val="left"/>
              <w:rPr>
                <w:rFonts w:hint="eastAsia" w:cs="仿宋_GB2312" w:asciiTheme="minorEastAsia" w:hAnsiTheme="minorEastAsia"/>
                <w:color w:val="auto"/>
                <w:sz w:val="24"/>
                <w:szCs w:val="24"/>
                <w:highlight w:val="none"/>
                <w:lang w:val="en-US" w:eastAsia="zh-CN"/>
              </w:rPr>
            </w:pPr>
            <w:r>
              <w:rPr>
                <w:rFonts w:hint="eastAsia" w:cs="仿宋_GB2312" w:asciiTheme="minorEastAsia" w:hAnsiTheme="minorEastAsia"/>
                <w:color w:val="auto"/>
                <w:sz w:val="24"/>
                <w:szCs w:val="24"/>
                <w:highlight w:val="none"/>
                <w:lang w:val="zh-CN"/>
              </w:rPr>
              <w:t>银行账号：</w:t>
            </w:r>
            <w:r>
              <w:rPr>
                <w:rFonts w:hint="eastAsia" w:cs="仿宋_GB2312" w:asciiTheme="minorEastAsia" w:hAnsiTheme="minorEastAsia"/>
                <w:color w:val="auto"/>
                <w:sz w:val="24"/>
                <w:szCs w:val="24"/>
                <w:highlight w:val="none"/>
                <w:lang w:val="en-US" w:eastAsia="zh-CN"/>
              </w:rPr>
              <w:t>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23</w:t>
            </w:r>
            <w:r>
              <w:rPr>
                <w:rFonts w:hint="eastAsia" w:cs="仿宋_GB2312" w:asciiTheme="minorEastAsia" w:hAnsiTheme="minorEastAsia"/>
                <w:color w:val="auto"/>
                <w:sz w:val="24"/>
                <w:szCs w:val="24"/>
                <w:highlight w:val="none"/>
              </w:rPr>
              <w:t xml:space="preserve"> 日</w:t>
            </w:r>
            <w:r>
              <w:rPr>
                <w:rFonts w:hint="eastAsia" w:cs="仿宋_GB2312" w:asciiTheme="minorEastAsia" w:hAnsiTheme="minorEastAsia"/>
                <w:color w:val="auto"/>
                <w:sz w:val="24"/>
                <w:szCs w:val="24"/>
                <w:highlight w:val="none"/>
                <w:lang w:val="en-US" w:eastAsia="zh-CN"/>
              </w:rPr>
              <w:t>09</w:t>
            </w:r>
            <w:r>
              <w:rPr>
                <w:rFonts w:hint="eastAsia" w:cs="仿宋_GB2312" w:asciiTheme="minorEastAsia" w:hAnsiTheme="minorEastAsia"/>
                <w:color w:val="auto"/>
                <w:sz w:val="24"/>
                <w:szCs w:val="24"/>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4982660"/>
      <w:bookmarkStart w:id="10" w:name="_Toc526942366"/>
      <w:bookmarkStart w:id="11" w:name="_Toc505068457"/>
      <w:bookmarkStart w:id="12" w:name="_Toc504913192"/>
      <w:bookmarkStart w:id="13" w:name="_Toc505092590"/>
      <w:bookmarkStart w:id="14" w:name="_Toc526941512"/>
      <w:bookmarkStart w:id="15" w:name="_Toc504981535"/>
      <w:bookmarkStart w:id="16" w:name="_Toc504980755"/>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1536"/>
      <w:bookmarkStart w:id="18" w:name="_Toc504982661"/>
      <w:bookmarkStart w:id="19" w:name="_Toc505068458"/>
      <w:bookmarkStart w:id="20" w:name="_Toc217446034"/>
      <w:bookmarkStart w:id="21" w:name="_Toc504913193"/>
      <w:bookmarkStart w:id="22" w:name="_Toc505092591"/>
      <w:bookmarkStart w:id="23" w:name="_Toc504980756"/>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582206"/>
      <w:bookmarkStart w:id="25" w:name="_Toc183682343"/>
      <w:bookmarkStart w:id="26" w:name="_Toc505068459"/>
      <w:bookmarkStart w:id="27" w:name="_Toc504982662"/>
      <w:bookmarkStart w:id="28" w:name="_Toc217446035"/>
      <w:bookmarkStart w:id="29" w:name="_Toc504980757"/>
      <w:bookmarkStart w:id="30" w:name="_Toc504913194"/>
      <w:bookmarkStart w:id="31" w:name="_Toc504981537"/>
      <w:bookmarkStart w:id="32" w:name="_Toc505092592"/>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33" w:name="_Toc183582207"/>
      <w:bookmarkStart w:id="34" w:name="_Toc183682344"/>
      <w:bookmarkStart w:id="35" w:name="_Toc217446036"/>
      <w:bookmarkStart w:id="36" w:name="_Toc217390843"/>
      <w:bookmarkStart w:id="37" w:name="_Toc504913195"/>
      <w:bookmarkStart w:id="38" w:name="_Toc505092593"/>
      <w:bookmarkStart w:id="39" w:name="_Toc504980758"/>
      <w:bookmarkStart w:id="40" w:name="_Toc504982663"/>
      <w:bookmarkStart w:id="41" w:name="_Toc504981538"/>
      <w:bookmarkStart w:id="42" w:name="_Toc505068460"/>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217446037"/>
      <w:bookmarkStart w:id="44" w:name="_Toc183582208"/>
      <w:bookmarkStart w:id="45" w:name="_Toc183682345"/>
      <w:bookmarkStart w:id="46" w:name="_Toc505068461"/>
      <w:bookmarkStart w:id="47" w:name="_Toc504982664"/>
      <w:bookmarkStart w:id="48" w:name="_Toc504981539"/>
      <w:bookmarkStart w:id="49" w:name="_Toc504913196"/>
      <w:bookmarkStart w:id="50" w:name="_Toc504980759"/>
      <w:bookmarkStart w:id="51" w:name="_Toc505092594"/>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77400782"/>
      <w:bookmarkStart w:id="53" w:name="_Toc89075878"/>
      <w:bookmarkStart w:id="54" w:name="_Toc526942369"/>
      <w:bookmarkStart w:id="55" w:name="_Toc504913216"/>
      <w:bookmarkStart w:id="56" w:name="_Toc217446056"/>
      <w:bookmarkStart w:id="57" w:name="_Toc505068481"/>
      <w:bookmarkStart w:id="58" w:name="_Toc526941515"/>
      <w:bookmarkStart w:id="59" w:name="_Toc183582231"/>
      <w:bookmarkStart w:id="60" w:name="_Toc504980779"/>
      <w:bookmarkStart w:id="61" w:name="_Toc183682368"/>
      <w:bookmarkStart w:id="62" w:name="_Toc504981559"/>
      <w:bookmarkStart w:id="63" w:name="_Toc504982684"/>
      <w:bookmarkStart w:id="64" w:name="_Toc505092614"/>
      <w:bookmarkStart w:id="65" w:name="_Toc308164805"/>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183682369"/>
      <w:bookmarkStart w:id="67" w:name="_Toc183582232"/>
      <w:bookmarkStart w:id="68" w:name="_Toc504982685"/>
      <w:bookmarkStart w:id="69" w:name="_Toc505092615"/>
      <w:bookmarkStart w:id="70" w:name="_Toc217446057"/>
      <w:bookmarkStart w:id="71" w:name="_Toc504913217"/>
      <w:bookmarkStart w:id="72" w:name="_Toc504981560"/>
      <w:bookmarkStart w:id="73" w:name="_Toc504980780"/>
      <w:bookmarkStart w:id="74" w:name="_Toc308164806"/>
      <w:bookmarkStart w:id="75" w:name="_Toc505068482"/>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13220"/>
      <w:bookmarkStart w:id="77" w:name="_Toc505068485"/>
      <w:bookmarkStart w:id="78" w:name="_Toc504980783"/>
      <w:bookmarkStart w:id="79" w:name="_Toc504981563"/>
      <w:bookmarkStart w:id="80" w:name="_Toc505092618"/>
      <w:bookmarkStart w:id="81" w:name="_Toc504982688"/>
      <w:bookmarkStart w:id="82" w:name="_Toc217446063"/>
      <w:bookmarkStart w:id="83" w:name="_Toc183582238"/>
      <w:bookmarkStart w:id="84" w:name="_Toc183682375"/>
      <w:bookmarkStart w:id="85" w:name="_Toc308164809"/>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rPr>
          <w:rFonts w:hint="eastAsia" w:cs="仿宋_GB2312" w:asciiTheme="minorEastAsia" w:hAnsiTheme="minorEastAsia"/>
          <w:color w:val="auto"/>
          <w:sz w:val="28"/>
          <w:szCs w:val="28"/>
          <w:highlight w:val="none"/>
        </w:rPr>
      </w:pPr>
      <w:bookmarkStart w:id="86" w:name="_Toc504981582"/>
      <w:bookmarkStart w:id="87" w:name="_Toc507243818"/>
      <w:bookmarkStart w:id="88" w:name="_Toc505092637"/>
      <w:bookmarkStart w:id="89" w:name="_Toc534980336"/>
      <w:bookmarkStart w:id="90" w:name="_Toc504982707"/>
      <w:bookmarkStart w:id="91" w:name="_Toc505068504"/>
      <w:bookmarkStart w:id="92" w:name="_Toc508783016"/>
      <w:bookmarkStart w:id="93" w:name="_Toc504980802"/>
      <w:bookmarkStart w:id="94" w:name="_Toc504913239"/>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所有响应人响应性文件将从资格性、符合性进行评审，采用合格法确定中选人。评标结果将在雅安交通建设（集团）有限责任公司网站公告栏中予以公告。公示期为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ascii="宋体" w:hAnsi="宋体"/>
          <w:color w:val="auto"/>
          <w:szCs w:val="21"/>
          <w:highlight w:val="none"/>
        </w:rPr>
      </w:pPr>
      <w:bookmarkStart w:id="96" w:name="_Toc8038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lang w:eastAsia="zh-CN"/>
        </w:rPr>
        <w:t>环境影响评价咨询</w:t>
      </w:r>
      <w:r>
        <w:rPr>
          <w:rFonts w:hint="eastAsia"/>
          <w:b/>
          <w:bCs/>
          <w:color w:val="auto"/>
          <w:sz w:val="28"/>
          <w:szCs w:val="28"/>
          <w:highlight w:val="none"/>
        </w:rPr>
        <w:t>服务企业</w:t>
      </w:r>
      <w:r>
        <w:rPr>
          <w:rFonts w:hint="eastAsia"/>
          <w:b/>
          <w:bCs/>
          <w:color w:val="auto"/>
          <w:sz w:val="28"/>
          <w:szCs w:val="28"/>
          <w:highlight w:val="none"/>
          <w:lang w:val="en-US" w:eastAsia="zh-CN"/>
        </w:rPr>
        <w:t>入库</w:t>
      </w:r>
      <w:r>
        <w:rPr>
          <w:rFonts w:hint="eastAsia"/>
          <w:b/>
          <w:bCs/>
          <w:color w:val="auto"/>
          <w:sz w:val="28"/>
          <w:szCs w:val="28"/>
          <w:highlight w:val="none"/>
        </w:rPr>
        <w:t>协议</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keepNext w:val="0"/>
        <w:keepLines w:val="0"/>
        <w:pageBreakBefore w:val="0"/>
        <w:widowControl/>
        <w:shd w:val="clear" w:color="auto" w:fill="FFFFFF"/>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b w:val="0"/>
          <w:bCs/>
          <w:color w:val="auto"/>
          <w:sz w:val="28"/>
          <w:szCs w:val="28"/>
          <w:highlight w:val="none"/>
          <w:lang w:val="en-US" w:eastAsia="zh-CN"/>
        </w:rPr>
      </w:pPr>
      <w:r>
        <w:rPr>
          <w:rFonts w:hint="eastAsia" w:asciiTheme="minorEastAsia" w:hAnsiTheme="minorEastAsia"/>
          <w:b w:val="0"/>
          <w:bCs/>
          <w:color w:val="auto"/>
          <w:sz w:val="28"/>
          <w:szCs w:val="28"/>
          <w:highlight w:val="none"/>
          <w:lang w:val="en-US" w:eastAsia="zh-CN"/>
        </w:rPr>
        <w:t xml:space="preserve">   </w:t>
      </w:r>
      <w:r>
        <w:rPr>
          <w:rFonts w:hint="eastAsia" w:asciiTheme="minorEastAsia" w:hAnsiTheme="minorEastAsia" w:eastAsiaTheme="minorEastAsia"/>
          <w:b w:val="0"/>
          <w:bCs/>
          <w:color w:val="auto"/>
          <w:sz w:val="28"/>
          <w:szCs w:val="28"/>
          <w:highlight w:val="none"/>
          <w:lang w:val="en-US"/>
        </w:rPr>
        <w:t>甲</w:t>
      </w:r>
      <w:r>
        <w:rPr>
          <w:rFonts w:hint="eastAsia" w:asciiTheme="minorEastAsia" w:hAnsiTheme="minorEastAsia" w:eastAsiaTheme="minorEastAsia" w:cstheme="minorBidi"/>
          <w:color w:val="auto"/>
          <w:kern w:val="2"/>
          <w:sz w:val="28"/>
          <w:szCs w:val="28"/>
          <w:highlight w:val="none"/>
          <w:lang w:val="en-US" w:eastAsia="zh-CN" w:bidi="ar-SA"/>
        </w:rPr>
        <w:t>乙双方根据雅安交通建设（集团）有限责任公司“雅安市交通建设（集团）有限责任公司环境影响评价咨询服务企业入库”比选结果，依照《中华人民共和国合同法》及有关法律、行政法规，遵循平等、自愿、公平和诚实</w:t>
      </w:r>
      <w:r>
        <w:rPr>
          <w:rFonts w:hint="eastAsia" w:asciiTheme="minorEastAsia" w:hAnsiTheme="minorEastAsia" w:eastAsiaTheme="minorEastAsia"/>
          <w:b w:val="0"/>
          <w:bCs/>
          <w:color w:val="auto"/>
          <w:sz w:val="28"/>
          <w:szCs w:val="28"/>
          <w:highlight w:val="none"/>
          <w:lang w:val="en-US" w:eastAsia="zh-CN"/>
        </w:rPr>
        <w:t>信用的原则，为明确双方在业务开展中的具体权利、义务，经双方共同协商，特签订以下合同条款：</w:t>
      </w:r>
    </w:p>
    <w:p>
      <w:pPr>
        <w:pStyle w:val="9"/>
        <w:numPr>
          <w:ilvl w:val="0"/>
          <w:numId w:val="2"/>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供应商库服务期:    年  月   日—  年  月   日。</w:t>
      </w:r>
    </w:p>
    <w:p>
      <w:pPr>
        <w:pStyle w:val="9"/>
        <w:numPr>
          <w:ilvl w:val="0"/>
          <w:numId w:val="2"/>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供应商库服务期内，甲方根据采购需求、资金预算和采购周期对供应商库内的企业组织进行询价或竞争性谈判采购，乙方接到甲方的询价或竞争性谈判邀请后，必须按要求准时参加询价或竞争性谈判，如无正当理由拒绝参加，视为自动放弃供应商库资格。</w:t>
      </w:r>
    </w:p>
    <w:p>
      <w:pPr>
        <w:pStyle w:val="9"/>
        <w:numPr>
          <w:ilvl w:val="0"/>
          <w:numId w:val="2"/>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甲方可以经询价或竞争性谈判方式确定具体供应商，签订《采购协议》。</w:t>
      </w:r>
    </w:p>
    <w:p>
      <w:pPr>
        <w:pStyle w:val="9"/>
        <w:numPr>
          <w:ilvl w:val="0"/>
          <w:numId w:val="2"/>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乙方承诺：</w:t>
      </w:r>
    </w:p>
    <w:p>
      <w:pPr>
        <w:pStyle w:val="9"/>
        <w:numPr>
          <w:ilvl w:val="0"/>
          <w:numId w:val="3"/>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乙方作为入库供应商，承诺按照招标文件、投标文件和其他承诺事项，响应甲方的采购需求，承诺缴纳的投标保证金自动转为履约保证金，乙方同意本《入库协议》规定的服务期届满后7个工作日内，甲方无息原额退还履约保证金。</w:t>
      </w:r>
    </w:p>
    <w:p>
      <w:pPr>
        <w:pStyle w:val="9"/>
        <w:numPr>
          <w:ilvl w:val="0"/>
          <w:numId w:val="3"/>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乙方承诺积极配合、参与甲方环境影响评价技术咨询服务有关咨询事宜，且有关环境影响评价技术咨询服务反馈必须真实可靠。上述标准要求之间如不一致，以要求较高者为本合同执行标准。</w:t>
      </w:r>
    </w:p>
    <w:p>
      <w:pPr>
        <w:pStyle w:val="9"/>
        <w:numPr>
          <w:ilvl w:val="0"/>
          <w:numId w:val="3"/>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olor w:val="auto"/>
          <w:sz w:val="28"/>
          <w:szCs w:val="28"/>
          <w:highlight w:val="none"/>
        </w:rPr>
        <w:t>乙方应积极参与甲方组织的适应乙方供给优势的项目招标等活动，且不得有任何违法违规等行为</w:t>
      </w:r>
      <w:r>
        <w:rPr>
          <w:rFonts w:hint="eastAsia" w:asciiTheme="minorEastAsia" w:hAnsiTheme="minorEastAsia" w:eastAsiaTheme="minorEastAsia" w:cstheme="minorBidi"/>
          <w:color w:val="auto"/>
          <w:kern w:val="2"/>
          <w:sz w:val="28"/>
          <w:szCs w:val="28"/>
          <w:highlight w:val="none"/>
          <w:lang w:val="en-US" w:eastAsia="zh-CN" w:bidi="ar-SA"/>
        </w:rPr>
        <w:t>。</w:t>
      </w:r>
    </w:p>
    <w:p>
      <w:pPr>
        <w:pStyle w:val="9"/>
        <w:numPr>
          <w:ilvl w:val="0"/>
          <w:numId w:val="2"/>
        </w:numPr>
        <w:spacing w:before="0" w:beforeAutospacing="0" w:after="0" w:afterAutospacing="0" w:line="500" w:lineRule="exact"/>
        <w:ind w:left="0" w:leftChars="0"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违约责任</w:t>
      </w:r>
    </w:p>
    <w:p>
      <w:pPr>
        <w:pStyle w:val="9"/>
        <w:numPr>
          <w:ilvl w:val="0"/>
          <w:numId w:val="0"/>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乙方在履行《入库协议》期间，或者在具体履行业务的过程中，出现下列情形之一的，甲方将视违约内容扣除直至没收履约保证金，情形严重的，取消乙方入围资格，将乙方列入不良供应商名单，不予合作。</w:t>
      </w:r>
    </w:p>
    <w:p>
      <w:pPr>
        <w:pStyle w:val="9"/>
        <w:numPr>
          <w:ilvl w:val="0"/>
          <w:numId w:val="4"/>
        </w:numPr>
        <w:spacing w:before="0" w:beforeAutospacing="0" w:after="0" w:afterAutospacing="0" w:line="500" w:lineRule="exact"/>
        <w:ind w:firstLine="560" w:firstLineChars="200"/>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擅自更改或者终止《入库协议》的。</w:t>
      </w:r>
    </w:p>
    <w:p>
      <w:pPr>
        <w:pStyle w:val="9"/>
        <w:numPr>
          <w:ilvl w:val="0"/>
          <w:numId w:val="4"/>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服务期内不响应甲方询价或者竞争性谈判邀请的。</w:t>
      </w:r>
    </w:p>
    <w:p>
      <w:pPr>
        <w:pStyle w:val="9"/>
        <w:numPr>
          <w:ilvl w:val="0"/>
          <w:numId w:val="4"/>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提供假冒伪劣产品或存在重大质量问题的。</w:t>
      </w:r>
    </w:p>
    <w:p>
      <w:pPr>
        <w:pStyle w:val="9"/>
        <w:numPr>
          <w:ilvl w:val="0"/>
          <w:numId w:val="4"/>
        </w:numPr>
        <w:spacing w:before="0" w:beforeAutospacing="0" w:after="0" w:afterAutospacing="0" w:line="500" w:lineRule="exact"/>
        <w:ind w:firstLine="560" w:firstLineChars="200"/>
        <w:outlineLvl w:val="1"/>
        <w:rPr>
          <w:rFonts w:hint="default"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eastAsiaTheme="minorEastAsia" w:cstheme="minorBidi"/>
          <w:color w:val="auto"/>
          <w:kern w:val="2"/>
          <w:sz w:val="28"/>
          <w:szCs w:val="28"/>
          <w:highlight w:val="none"/>
          <w:lang w:val="en-US" w:eastAsia="zh-CN" w:bidi="ar-SA"/>
        </w:rPr>
        <w:t>无故拖延供货并拒不改正的。</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六</w:t>
      </w:r>
      <w:r>
        <w:rPr>
          <w:rFonts w:hint="eastAsia" w:asciiTheme="minorEastAsia" w:hAnsiTheme="minorEastAsia"/>
          <w:b/>
          <w:color w:val="auto"/>
          <w:sz w:val="28"/>
          <w:szCs w:val="28"/>
          <w:highlight w:val="none"/>
        </w:rPr>
        <w:t>、不可抗力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七</w:t>
      </w:r>
      <w:r>
        <w:rPr>
          <w:rFonts w:hint="eastAsia" w:asciiTheme="minorEastAsia" w:hAnsiTheme="minorEastAsia"/>
          <w:b/>
          <w:color w:val="auto"/>
          <w:sz w:val="28"/>
          <w:szCs w:val="28"/>
          <w:highlight w:val="none"/>
        </w:rPr>
        <w:t>、其他</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val="en-US"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val="en-US"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八</w:t>
      </w:r>
      <w:r>
        <w:rPr>
          <w:rFonts w:hint="eastAsia" w:asciiTheme="minorEastAsia" w:hAnsiTheme="minorEastAsia"/>
          <w:b/>
          <w:color w:val="auto"/>
          <w:sz w:val="28"/>
          <w:szCs w:val="28"/>
          <w:highlight w:val="none"/>
        </w:rPr>
        <w:t>、争议解决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pStyle w:val="9"/>
        <w:numPr>
          <w:ilvl w:val="0"/>
          <w:numId w:val="0"/>
        </w:numPr>
        <w:spacing w:before="0" w:beforeAutospacing="0" w:after="0" w:afterAutospacing="0" w:line="500" w:lineRule="exact"/>
        <w:outlineLvl w:val="1"/>
        <w:rPr>
          <w:rFonts w:hint="eastAsia" w:asciiTheme="minorEastAsia" w:hAnsiTheme="minorEastAsia" w:eastAsiaTheme="minorEastAsia" w:cstheme="minorBidi"/>
          <w:color w:val="auto"/>
          <w:kern w:val="2"/>
          <w:sz w:val="28"/>
          <w:szCs w:val="28"/>
          <w:highlight w:val="none"/>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b w:val="0"/>
          <w:bCs/>
          <w:color w:val="auto"/>
          <w:sz w:val="28"/>
          <w:szCs w:val="28"/>
          <w:highlight w:val="none"/>
          <w:lang w:val="en-US" w:eastAsia="zh-CN"/>
        </w:rPr>
      </w:pPr>
    </w:p>
    <w:p>
      <w:pPr>
        <w:rPr>
          <w:rFonts w:cs="仿宋_GB2312" w:asciiTheme="minorEastAsia" w:hAnsiTheme="minorEastAsia"/>
          <w:b/>
          <w:color w:val="auto"/>
          <w:sz w:val="32"/>
          <w:szCs w:val="32"/>
          <w:highlight w:val="none"/>
        </w:rPr>
      </w:pPr>
      <w:r>
        <w:rPr>
          <w:rFonts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26802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217446082"/>
      <w:bookmarkStart w:id="99" w:name="_Toc308164821"/>
    </w:p>
    <w:p>
      <w:pPr>
        <w:spacing w:line="500" w:lineRule="exact"/>
        <w:ind w:firstLine="560" w:firstLineChars="200"/>
        <w:rPr>
          <w:rFonts w:cs="仿宋_GB2312" w:asciiTheme="minorEastAsia" w:hAnsiTheme="minorEastAsia"/>
          <w:color w:val="auto"/>
          <w:sz w:val="28"/>
          <w:szCs w:val="28"/>
          <w:highlight w:val="none"/>
        </w:rPr>
      </w:pPr>
      <w:bookmarkStart w:id="100" w:name="_Toc505092638"/>
      <w:bookmarkStart w:id="101" w:name="_Toc505068505"/>
      <w:bookmarkStart w:id="102" w:name="_Toc504982708"/>
      <w:bookmarkStart w:id="103" w:name="_Toc504980803"/>
      <w:bookmarkStart w:id="104" w:name="_Toc504981583"/>
      <w:bookmarkStart w:id="105" w:name="_Toc506210295"/>
      <w:bookmarkStart w:id="106" w:name="_Toc504913240"/>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4980805"/>
      <w:bookmarkStart w:id="108" w:name="_Toc504981585"/>
      <w:bookmarkStart w:id="109" w:name="_Toc504913242"/>
      <w:bookmarkStart w:id="110" w:name="_Toc506210297"/>
      <w:bookmarkStart w:id="111" w:name="_Toc505068507"/>
      <w:bookmarkStart w:id="112" w:name="_Toc505092640"/>
      <w:bookmarkStart w:id="113" w:name="_Toc504982710"/>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lang w:val="en-US" w:eastAsia="zh-CN"/>
        </w:rPr>
        <w:t>2</w:t>
      </w:r>
      <w:r>
        <w:rPr>
          <w:rFonts w:hint="eastAsia" w:cs="仿宋_GB2312" w:asciiTheme="minorEastAsia" w:hAnsiTheme="minorEastAsia"/>
          <w:color w:val="auto"/>
          <w:sz w:val="28"/>
          <w:szCs w:val="28"/>
          <w:highlight w:val="none"/>
          <w:lang w:eastAsia="zh-CN"/>
        </w:rPr>
        <w:t>）</w:t>
      </w:r>
      <w:r>
        <w:rPr>
          <w:rFonts w:hint="eastAsia" w:cs="宋体" w:asciiTheme="minorEastAsia" w:hAnsiTheme="minorEastAsia"/>
          <w:color w:val="auto"/>
          <w:kern w:val="36"/>
          <w:sz w:val="28"/>
          <w:szCs w:val="28"/>
          <w:highlight w:val="none"/>
          <w:lang w:eastAsia="zh-CN"/>
        </w:rPr>
        <w:t>环境影响评价相应资质以及服务能力（具有行政主管部门颁发的环境影响评价编制乙级及以上资质，加盖公章）。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14" w:name="_Toc504980806"/>
      <w:bookmarkStart w:id="115" w:name="_Toc504982711"/>
      <w:bookmarkStart w:id="116" w:name="_Toc526941521"/>
      <w:bookmarkStart w:id="117" w:name="_Toc505092641"/>
      <w:bookmarkStart w:id="118" w:name="_Toc504913243"/>
      <w:bookmarkStart w:id="119" w:name="_Toc505068508"/>
      <w:bookmarkStart w:id="120" w:name="_Toc504981586"/>
      <w:bookmarkStart w:id="121" w:name="_Toc527106620"/>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eastAsia="zh-CN"/>
        </w:rPr>
        <w:t>环境影响评价技术咨询服务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环境影响评价技术咨询服务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eastAsia="zh-CN"/>
        </w:rPr>
        <w:t>环境影响评价技术咨询</w:t>
      </w:r>
      <w:r>
        <w:rPr>
          <w:rFonts w:hint="eastAsia" w:asciiTheme="minorEastAsia" w:hAnsiTheme="minorEastAsia" w:eastAsiaTheme="minorEastAsia"/>
          <w:b w:val="0"/>
          <w:bCs/>
          <w:color w:val="auto"/>
          <w:sz w:val="28"/>
          <w:szCs w:val="28"/>
          <w:highlight w:val="none"/>
        </w:rPr>
        <w:t>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eastAsia="zh-CN"/>
        </w:rPr>
        <w:t>环境影响评价技术咨询服务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eastAsia="zh-CN"/>
        </w:rPr>
        <w:t>环境影响评价技术咨询服务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cs="宋体" w:asciiTheme="minorEastAsia" w:hAnsiTheme="minorEastAsia"/>
          <w:color w:val="auto"/>
          <w:kern w:val="36"/>
          <w:sz w:val="28"/>
          <w:szCs w:val="28"/>
          <w:highlight w:val="none"/>
          <w:lang w:eastAsia="zh-CN"/>
        </w:rPr>
        <w:t>环境影响评价技术咨询服务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cs="宋体" w:asciiTheme="minorEastAsia" w:hAnsiTheme="minorEastAsia"/>
          <w:color w:val="auto"/>
          <w:kern w:val="36"/>
          <w:sz w:val="28"/>
          <w:szCs w:val="28"/>
          <w:highlight w:val="none"/>
          <w:lang w:eastAsia="zh-CN"/>
        </w:rPr>
        <w:t>环境影响评价技术咨询服务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cs="宋体" w:asciiTheme="minorEastAsia" w:hAnsiTheme="minorEastAsia"/>
          <w:color w:val="auto"/>
          <w:kern w:val="36"/>
          <w:sz w:val="28"/>
          <w:szCs w:val="28"/>
          <w:highlight w:val="none"/>
          <w:lang w:eastAsia="zh-CN"/>
        </w:rPr>
        <w:t>环境影响评价技术咨询服务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cs="宋体" w:asciiTheme="minorEastAsia" w:hAnsiTheme="minorEastAsia"/>
          <w:color w:val="auto"/>
          <w:kern w:val="36"/>
          <w:sz w:val="28"/>
          <w:szCs w:val="28"/>
          <w:highlight w:val="none"/>
          <w:lang w:eastAsia="zh-CN"/>
        </w:rPr>
        <w:t>环境影响评价技术咨询服务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cs="宋体" w:asciiTheme="minorEastAsia" w:hAnsiTheme="minorEastAsia"/>
          <w:color w:val="auto"/>
          <w:kern w:val="36"/>
          <w:sz w:val="28"/>
          <w:szCs w:val="28"/>
          <w:highlight w:val="none"/>
          <w:lang w:eastAsia="zh-CN"/>
        </w:rPr>
        <w:t>环境影响评价技术咨询服务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22" w:name="_Toc526941523"/>
      <w:bookmarkStart w:id="123" w:name="_Toc504981588"/>
      <w:bookmarkStart w:id="124" w:name="_Toc527106622"/>
      <w:bookmarkStart w:id="125" w:name="_Toc505092643"/>
      <w:bookmarkStart w:id="126" w:name="_Toc504913245"/>
      <w:bookmarkStart w:id="127" w:name="_Toc505068510"/>
      <w:bookmarkStart w:id="128" w:name="_Toc504982713"/>
      <w:bookmarkStart w:id="129" w:name="_Toc504980808"/>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p>
      <w:pPr>
        <w:spacing w:line="500" w:lineRule="exact"/>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lang w:eastAsia="zh-CN"/>
        </w:rPr>
        <w:t>　　环境影响评价相应资质以及服务能力（具有行政主管部门颁发的环境影响评价编制乙级及以上资质，加盖公章）。</w:t>
      </w:r>
    </w:p>
    <w:bookmarkEnd w:id="13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4982731"/>
      <w:bookmarkStart w:id="132" w:name="_Toc505068529"/>
      <w:bookmarkStart w:id="133" w:name="_Toc534980340"/>
      <w:bookmarkStart w:id="134" w:name="_Toc504981606"/>
      <w:bookmarkStart w:id="135" w:name="_Toc504913327"/>
      <w:bookmarkStart w:id="136" w:name="_Toc507243822"/>
      <w:bookmarkStart w:id="137" w:name="_Toc504980826"/>
      <w:bookmarkStart w:id="138" w:name="_Toc508783020"/>
      <w:bookmarkStart w:id="139" w:name="_Toc505092662"/>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11523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08849007"/>
      <w:bookmarkStart w:id="143" w:name="_Toc217446097"/>
      <w:bookmarkStart w:id="144" w:name="_Toc183682415"/>
      <w:bookmarkStart w:id="145" w:name="_Toc183582280"/>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27106644"/>
      <w:bookmarkStart w:id="147" w:name="_Toc504981607"/>
      <w:bookmarkStart w:id="148" w:name="_Toc504982732"/>
      <w:bookmarkStart w:id="149" w:name="_Toc505092663"/>
      <w:bookmarkStart w:id="150" w:name="_Toc504913328"/>
      <w:bookmarkStart w:id="151" w:name="_Toc504980827"/>
      <w:bookmarkStart w:id="152" w:name="_Toc505068530"/>
      <w:bookmarkStart w:id="153" w:name="_Toc526942398"/>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4913329"/>
      <w:bookmarkStart w:id="156" w:name="_Toc527106645"/>
      <w:bookmarkStart w:id="157" w:name="_Toc526942399"/>
      <w:bookmarkStart w:id="158" w:name="_Toc504980828"/>
      <w:bookmarkStart w:id="159" w:name="_Toc505068531"/>
      <w:bookmarkStart w:id="160" w:name="_Toc504981608"/>
      <w:bookmarkStart w:id="161" w:name="_Toc504982733"/>
      <w:bookmarkStart w:id="162" w:name="_Toc505092664"/>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D2A06B"/>
    <w:multiLevelType w:val="singleLevel"/>
    <w:tmpl w:val="E9D2A06B"/>
    <w:lvl w:ilvl="0" w:tentative="0">
      <w:start w:val="1"/>
      <w:numFmt w:val="chineseCounting"/>
      <w:suff w:val="nothing"/>
      <w:lvlText w:val="%1、"/>
      <w:lvlJc w:val="left"/>
      <w:rPr>
        <w:rFonts w:hint="eastAsia"/>
      </w:rPr>
    </w:lvl>
  </w:abstractNum>
  <w:abstractNum w:abstractNumId="1">
    <w:nsid w:val="060E37CE"/>
    <w:multiLevelType w:val="singleLevel"/>
    <w:tmpl w:val="060E37CE"/>
    <w:lvl w:ilvl="0" w:tentative="0">
      <w:start w:val="1"/>
      <w:numFmt w:val="decimal"/>
      <w:suff w:val="nothing"/>
      <w:lvlText w:val="%1、"/>
      <w:lvlJc w:val="left"/>
    </w:lvl>
  </w:abstractNum>
  <w:abstractNum w:abstractNumId="2">
    <w:nsid w:val="114B545B"/>
    <w:multiLevelType w:val="singleLevel"/>
    <w:tmpl w:val="114B545B"/>
    <w:lvl w:ilvl="0" w:tentative="0">
      <w:start w:val="1"/>
      <w:numFmt w:val="decimal"/>
      <w:suff w:val="nothing"/>
      <w:lvlText w:val="%1、"/>
      <w:lvlJc w:val="left"/>
    </w:lvl>
  </w:abstractNum>
  <w:abstractNum w:abstractNumId="3">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1013C5F"/>
    <w:rsid w:val="01EA2E9A"/>
    <w:rsid w:val="024233D5"/>
    <w:rsid w:val="05C725B2"/>
    <w:rsid w:val="06B554D2"/>
    <w:rsid w:val="078C646D"/>
    <w:rsid w:val="08BC2A57"/>
    <w:rsid w:val="0A946DFB"/>
    <w:rsid w:val="0B82412D"/>
    <w:rsid w:val="0D3A79AD"/>
    <w:rsid w:val="0F233BC3"/>
    <w:rsid w:val="10276222"/>
    <w:rsid w:val="110F7414"/>
    <w:rsid w:val="12C054AB"/>
    <w:rsid w:val="12E62819"/>
    <w:rsid w:val="14ED6295"/>
    <w:rsid w:val="1676250A"/>
    <w:rsid w:val="17187CC1"/>
    <w:rsid w:val="1E7658E1"/>
    <w:rsid w:val="21B93B14"/>
    <w:rsid w:val="220F6E04"/>
    <w:rsid w:val="262903E0"/>
    <w:rsid w:val="2AC95581"/>
    <w:rsid w:val="2C7F0234"/>
    <w:rsid w:val="2CE96FE3"/>
    <w:rsid w:val="2F6E6833"/>
    <w:rsid w:val="2FDB0FC2"/>
    <w:rsid w:val="31251CAF"/>
    <w:rsid w:val="31EA2648"/>
    <w:rsid w:val="32F53721"/>
    <w:rsid w:val="366C2DDA"/>
    <w:rsid w:val="384E7304"/>
    <w:rsid w:val="3881407E"/>
    <w:rsid w:val="3E8C2533"/>
    <w:rsid w:val="40690313"/>
    <w:rsid w:val="4102272A"/>
    <w:rsid w:val="41077E0C"/>
    <w:rsid w:val="41EA2DBC"/>
    <w:rsid w:val="437D4041"/>
    <w:rsid w:val="44137F59"/>
    <w:rsid w:val="4525685B"/>
    <w:rsid w:val="47C83B2C"/>
    <w:rsid w:val="4B304D52"/>
    <w:rsid w:val="4CDC0AB9"/>
    <w:rsid w:val="4DB85361"/>
    <w:rsid w:val="4FE4364E"/>
    <w:rsid w:val="5056708B"/>
    <w:rsid w:val="5304545F"/>
    <w:rsid w:val="57146F8F"/>
    <w:rsid w:val="57647497"/>
    <w:rsid w:val="586924FA"/>
    <w:rsid w:val="597B0DC3"/>
    <w:rsid w:val="5A4E492A"/>
    <w:rsid w:val="5CE75665"/>
    <w:rsid w:val="5CF23F86"/>
    <w:rsid w:val="5E072FF6"/>
    <w:rsid w:val="5E1706A7"/>
    <w:rsid w:val="60B45255"/>
    <w:rsid w:val="61B83710"/>
    <w:rsid w:val="69067504"/>
    <w:rsid w:val="6E656D67"/>
    <w:rsid w:val="6EDE53E0"/>
    <w:rsid w:val="6F7F3391"/>
    <w:rsid w:val="70B04C9C"/>
    <w:rsid w:val="729E48B0"/>
    <w:rsid w:val="72B71BF2"/>
    <w:rsid w:val="74213147"/>
    <w:rsid w:val="79996081"/>
    <w:rsid w:val="7A0E4D13"/>
    <w:rsid w:val="7AAA187C"/>
    <w:rsid w:val="7B3343B0"/>
    <w:rsid w:val="7B3F18AF"/>
    <w:rsid w:val="7C270F4D"/>
    <w:rsid w:val="7DC813F8"/>
    <w:rsid w:val="7E633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0"/>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19"/>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Table Paragraph"/>
    <w:basedOn w:val="1"/>
    <w:qFormat/>
    <w:uiPriority w:val="1"/>
  </w:style>
  <w:style w:type="paragraph" w:customStyle="1" w:styleId="1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99"/>
    <w:rPr>
      <w:rFonts w:asciiTheme="minorHAnsi" w:hAnsiTheme="minorHAnsi" w:eastAsiaTheme="minorEastAsia" w:cstheme="minorBidi"/>
      <w:kern w:val="2"/>
      <w:sz w:val="18"/>
      <w:szCs w:val="18"/>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日期 Char"/>
    <w:basedOn w:val="12"/>
    <w:link w:val="5"/>
    <w:qFormat/>
    <w:uiPriority w:val="0"/>
    <w:rPr>
      <w:rFonts w:asciiTheme="minorHAnsi" w:hAnsiTheme="minorHAnsi" w:eastAsiaTheme="minorEastAsia" w:cstheme="minorBidi"/>
      <w:kern w:val="2"/>
      <w:sz w:val="21"/>
      <w:szCs w:val="22"/>
    </w:rPr>
  </w:style>
  <w:style w:type="character" w:customStyle="1" w:styleId="20">
    <w:name w:val="称呼 Char"/>
    <w:basedOn w:val="12"/>
    <w:link w:val="3"/>
    <w:qFormat/>
    <w:uiPriority w:val="0"/>
    <w:rPr>
      <w:rFonts w:eastAsia="楷体_GB2312" w:cstheme="minorBidi"/>
      <w:b/>
      <w:kern w:val="10"/>
      <w:sz w:val="30"/>
    </w:rPr>
  </w:style>
  <w:style w:type="paragraph" w:customStyle="1" w:styleId="21">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20c79fb-c633-4b59-9510-e15a84af7a6e}"/>
        <w:style w:val=""/>
        <w:category>
          <w:name w:val="常规"/>
          <w:gallery w:val="placeholder"/>
        </w:category>
        <w:types>
          <w:type w:val="bbPlcHdr"/>
        </w:types>
        <w:behaviors>
          <w:behavior w:val="content"/>
        </w:behaviors>
        <w:description w:val=""/>
        <w:guid w:val="{120c79fb-c633-4b59-9510-e15a84af7a6e}"/>
      </w:docPartPr>
      <w:docPartBody>
        <w:p>
          <w:r>
            <w:rPr>
              <w:color w:val="808080"/>
            </w:rPr>
            <w:t>单击此处输入文字。</w:t>
          </w:r>
        </w:p>
      </w:docPartBody>
    </w:docPart>
    <w:docPart>
      <w:docPartPr>
        <w:name w:val="{a7761140-ad93-4bd4-bee6-9cc23cecfa55}"/>
        <w:style w:val=""/>
        <w:category>
          <w:name w:val="常规"/>
          <w:gallery w:val="placeholder"/>
        </w:category>
        <w:types>
          <w:type w:val="bbPlcHdr"/>
        </w:types>
        <w:behaviors>
          <w:behavior w:val="content"/>
        </w:behaviors>
        <w:description w:val=""/>
        <w:guid w:val="{a7761140-ad93-4bd4-bee6-9cc23cecfa55}"/>
      </w:docPartPr>
      <w:docPartBody>
        <w:p>
          <w:r>
            <w:rPr>
              <w:color w:val="808080"/>
            </w:rPr>
            <w:t>单击此处输入文字。</w:t>
          </w:r>
        </w:p>
      </w:docPartBody>
    </w:docPart>
    <w:docPart>
      <w:docPartPr>
        <w:name w:val="{b8aef261-04a9-43a7-9ecd-1591f7dad37e}"/>
        <w:style w:val=""/>
        <w:category>
          <w:name w:val="常规"/>
          <w:gallery w:val="placeholder"/>
        </w:category>
        <w:types>
          <w:type w:val="bbPlcHdr"/>
        </w:types>
        <w:behaviors>
          <w:behavior w:val="content"/>
        </w:behaviors>
        <w:description w:val=""/>
        <w:guid w:val="{b8aef261-04a9-43a7-9ecd-1591f7dad37e}"/>
      </w:docPartPr>
      <w:docPartBody>
        <w:p>
          <w:r>
            <w:rPr>
              <w:color w:val="808080"/>
            </w:rPr>
            <w:t>单击此处输入文字。</w:t>
          </w:r>
        </w:p>
      </w:docPartBody>
    </w:docPart>
    <w:docPart>
      <w:docPartPr>
        <w:name w:val="{eaa1bfe6-9454-4536-80ff-44d69eb92bc6}"/>
        <w:style w:val=""/>
        <w:category>
          <w:name w:val="常规"/>
          <w:gallery w:val="placeholder"/>
        </w:category>
        <w:types>
          <w:type w:val="bbPlcHdr"/>
        </w:types>
        <w:behaviors>
          <w:behavior w:val="content"/>
        </w:behaviors>
        <w:description w:val=""/>
        <w:guid w:val="{eaa1bfe6-9454-4536-80ff-44d69eb92bc6}"/>
      </w:docPartPr>
      <w:docPartBody>
        <w:p>
          <w:r>
            <w:rPr>
              <w:color w:val="808080"/>
            </w:rPr>
            <w:t>单击此处输入文字。</w:t>
          </w:r>
        </w:p>
      </w:docPartBody>
    </w:docPart>
    <w:docPart>
      <w:docPartPr>
        <w:name w:val="{8b72fa6b-3ddf-40f1-936f-095e863063a5}"/>
        <w:style w:val=""/>
        <w:category>
          <w:name w:val="常规"/>
          <w:gallery w:val="placeholder"/>
        </w:category>
        <w:types>
          <w:type w:val="bbPlcHdr"/>
        </w:types>
        <w:behaviors>
          <w:behavior w:val="content"/>
        </w:behaviors>
        <w:description w:val=""/>
        <w:guid w:val="{8b72fa6b-3ddf-40f1-936f-095e863063a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0</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2019-05-17T05:43:26Z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