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40" w:rsidRPr="00790340" w:rsidRDefault="00790340" w:rsidP="00790340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790340">
        <w:rPr>
          <w:rFonts w:asciiTheme="minorEastAsia" w:hAnsiTheme="minorEastAsia" w:hint="eastAsia"/>
          <w:b/>
          <w:sz w:val="44"/>
          <w:szCs w:val="44"/>
        </w:rPr>
        <w:t>水泥</w:t>
      </w:r>
      <w:proofErr w:type="gramStart"/>
      <w:r w:rsidRPr="00790340">
        <w:rPr>
          <w:rFonts w:asciiTheme="minorEastAsia" w:hAnsiTheme="minorEastAsia" w:hint="eastAsia"/>
          <w:b/>
          <w:sz w:val="44"/>
          <w:szCs w:val="44"/>
        </w:rPr>
        <w:t>砼</w:t>
      </w:r>
      <w:proofErr w:type="gramEnd"/>
      <w:r w:rsidRPr="00790340">
        <w:rPr>
          <w:rFonts w:asciiTheme="minorEastAsia" w:hAnsiTheme="minorEastAsia" w:hint="eastAsia"/>
          <w:b/>
          <w:sz w:val="44"/>
          <w:szCs w:val="44"/>
        </w:rPr>
        <w:t>搅拌设备与</w:t>
      </w:r>
      <w:proofErr w:type="gramStart"/>
      <w:r w:rsidRPr="00790340">
        <w:rPr>
          <w:rFonts w:asciiTheme="minorEastAsia" w:hAnsiTheme="minorEastAsia" w:hint="eastAsia"/>
          <w:b/>
          <w:sz w:val="44"/>
          <w:szCs w:val="44"/>
        </w:rPr>
        <w:t>稳定土</w:t>
      </w:r>
      <w:proofErr w:type="gramEnd"/>
      <w:r w:rsidRPr="00790340">
        <w:rPr>
          <w:rFonts w:asciiTheme="minorEastAsia" w:hAnsiTheme="minorEastAsia" w:hint="eastAsia"/>
          <w:b/>
          <w:sz w:val="44"/>
          <w:szCs w:val="44"/>
        </w:rPr>
        <w:t>拌和设备采购</w:t>
      </w:r>
    </w:p>
    <w:p w:rsidR="00E568DE" w:rsidRPr="00790340" w:rsidRDefault="00790340" w:rsidP="00790340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90340">
        <w:rPr>
          <w:rFonts w:asciiTheme="minorEastAsia" w:hAnsiTheme="minorEastAsia" w:hint="eastAsia"/>
          <w:b/>
          <w:sz w:val="44"/>
          <w:szCs w:val="44"/>
        </w:rPr>
        <w:t>招标文件</w:t>
      </w:r>
      <w:r w:rsidR="00E568DE" w:rsidRPr="00790340">
        <w:rPr>
          <w:rFonts w:asciiTheme="majorEastAsia" w:eastAsiaTheme="majorEastAsia" w:hAnsiTheme="majorEastAsia" w:hint="eastAsia"/>
          <w:b/>
          <w:sz w:val="44"/>
          <w:szCs w:val="44"/>
        </w:rPr>
        <w:t>补遗书</w:t>
      </w:r>
    </w:p>
    <w:p w:rsidR="00E347E2" w:rsidRDefault="00E347E2" w:rsidP="00E568DE">
      <w:pPr>
        <w:spacing w:line="500" w:lineRule="exact"/>
        <w:jc w:val="left"/>
        <w:rPr>
          <w:rFonts w:ascii="楷体" w:eastAsia="楷体" w:hAnsi="楷体"/>
          <w:b/>
          <w:sz w:val="32"/>
          <w:szCs w:val="32"/>
        </w:rPr>
      </w:pPr>
    </w:p>
    <w:p w:rsidR="00E568DE" w:rsidRPr="001120A9" w:rsidRDefault="00E568DE" w:rsidP="00E568DE">
      <w:pPr>
        <w:spacing w:line="500" w:lineRule="exact"/>
        <w:jc w:val="left"/>
        <w:rPr>
          <w:rFonts w:ascii="楷体" w:eastAsia="楷体" w:hAnsi="楷体"/>
          <w:b/>
          <w:sz w:val="32"/>
          <w:szCs w:val="32"/>
        </w:rPr>
      </w:pPr>
      <w:r w:rsidRPr="001120A9">
        <w:rPr>
          <w:rFonts w:ascii="楷体" w:eastAsia="楷体" w:hAnsi="楷体" w:hint="eastAsia"/>
          <w:b/>
          <w:sz w:val="32"/>
          <w:szCs w:val="32"/>
        </w:rPr>
        <w:t>各意向投标人:</w:t>
      </w:r>
    </w:p>
    <w:p w:rsidR="00E568DE" w:rsidRPr="007039C9" w:rsidRDefault="007039C9" w:rsidP="00321AC9">
      <w:pPr>
        <w:spacing w:line="360" w:lineRule="auto"/>
        <w:ind w:firstLineChars="200" w:firstLine="6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因我公司工程施工组织方案调整，</w:t>
      </w:r>
      <w:r w:rsidR="001120A9" w:rsidRPr="007039C9">
        <w:rPr>
          <w:rFonts w:asciiTheme="minorEastAsia" w:hAnsiTheme="minorEastAsia" w:hint="eastAsia"/>
          <w:color w:val="000000" w:themeColor="text1"/>
          <w:sz w:val="32"/>
          <w:szCs w:val="32"/>
        </w:rPr>
        <w:t>采购编号为“</w:t>
      </w:r>
      <w:r w:rsidR="00790340" w:rsidRPr="007039C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YJJ-LQ-2019-01</w:t>
      </w:r>
      <w:r w:rsidR="001120A9" w:rsidRPr="007039C9">
        <w:rPr>
          <w:rFonts w:asciiTheme="minorEastAsia" w:hAnsiTheme="minorEastAsia" w:hint="eastAsia"/>
          <w:color w:val="000000" w:themeColor="text1"/>
          <w:sz w:val="32"/>
          <w:szCs w:val="32"/>
        </w:rPr>
        <w:t>”的《</w:t>
      </w:r>
      <w:r w:rsidR="00790340" w:rsidRPr="007039C9">
        <w:rPr>
          <w:rFonts w:asciiTheme="minorEastAsia" w:hAnsiTheme="minorEastAsia" w:hint="eastAsia"/>
          <w:b/>
          <w:sz w:val="32"/>
          <w:szCs w:val="32"/>
        </w:rPr>
        <w:t>水泥砼搅拌设备与稳定土拌和设备采购招标文件</w:t>
      </w:r>
      <w:r w:rsidR="001120A9" w:rsidRPr="007039C9">
        <w:rPr>
          <w:rFonts w:asciiTheme="minorEastAsia" w:hAnsiTheme="minorEastAsia" w:hint="eastAsia"/>
          <w:sz w:val="32"/>
          <w:szCs w:val="32"/>
        </w:rPr>
        <w:t>》</w:t>
      </w:r>
      <w:r w:rsidR="0024579B" w:rsidRPr="007039C9">
        <w:rPr>
          <w:rFonts w:asciiTheme="minorEastAsia" w:hAnsiTheme="minorEastAsia" w:hint="eastAsia"/>
          <w:sz w:val="32"/>
          <w:szCs w:val="32"/>
        </w:rPr>
        <w:t>中涉及</w:t>
      </w:r>
      <w:r w:rsidR="00D9236E">
        <w:rPr>
          <w:rFonts w:asciiTheme="minorEastAsia" w:hAnsiTheme="minorEastAsia" w:hint="eastAsia"/>
          <w:sz w:val="32"/>
          <w:szCs w:val="32"/>
        </w:rPr>
        <w:t>水泥混凝土搅拌设备与</w:t>
      </w:r>
      <w:proofErr w:type="gramStart"/>
      <w:r w:rsidR="00D9236E">
        <w:rPr>
          <w:rFonts w:asciiTheme="minorEastAsia" w:hAnsiTheme="minorEastAsia" w:hint="eastAsia"/>
          <w:sz w:val="32"/>
          <w:szCs w:val="32"/>
        </w:rPr>
        <w:t>稳定土</w:t>
      </w:r>
      <w:proofErr w:type="gramEnd"/>
      <w:r w:rsidR="00D9236E">
        <w:rPr>
          <w:rFonts w:asciiTheme="minorEastAsia" w:hAnsiTheme="minorEastAsia" w:hint="eastAsia"/>
          <w:sz w:val="32"/>
          <w:szCs w:val="32"/>
        </w:rPr>
        <w:t>拌和设备采购的相关事项作如下变更说明：</w:t>
      </w:r>
      <w:r w:rsidR="00D9236E" w:rsidRPr="007039C9">
        <w:rPr>
          <w:rFonts w:asciiTheme="minorEastAsia" w:hAnsiTheme="minorEastAsia"/>
          <w:b/>
          <w:sz w:val="32"/>
          <w:szCs w:val="32"/>
        </w:rPr>
        <w:t xml:space="preserve"> </w:t>
      </w:r>
    </w:p>
    <w:p w:rsidR="00E568DE" w:rsidRDefault="00D9236E" w:rsidP="00321AC9">
      <w:pPr>
        <w:spacing w:line="360" w:lineRule="auto"/>
        <w:ind w:firstLineChars="196" w:firstLine="627"/>
        <w:jc w:val="left"/>
        <w:rPr>
          <w:rFonts w:asciiTheme="minorEastAsia" w:hAnsiTheme="minorEastAsia"/>
          <w:sz w:val="32"/>
          <w:szCs w:val="32"/>
        </w:rPr>
      </w:pPr>
      <w:r w:rsidRPr="00D9236E">
        <w:rPr>
          <w:rFonts w:asciiTheme="minorEastAsia" w:hAnsiTheme="minorEastAsia" w:hint="eastAsia"/>
          <w:color w:val="000000" w:themeColor="text1"/>
          <w:sz w:val="32"/>
          <w:szCs w:val="32"/>
        </w:rPr>
        <w:t>一、本次招标采购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变更为</w:t>
      </w:r>
      <w:r w:rsidRPr="00D9236E">
        <w:rPr>
          <w:rFonts w:asciiTheme="minorEastAsia" w:hAnsiTheme="minorEastAsia" w:hint="eastAsia"/>
          <w:color w:val="000000" w:themeColor="text1"/>
          <w:sz w:val="32"/>
          <w:szCs w:val="32"/>
        </w:rPr>
        <w:t>只采购</w:t>
      </w:r>
      <w:r>
        <w:rPr>
          <w:rFonts w:asciiTheme="minorEastAsia" w:hAnsiTheme="minorEastAsia" w:hint="eastAsia"/>
          <w:sz w:val="32"/>
          <w:szCs w:val="32"/>
        </w:rPr>
        <w:t>水泥混凝土搅拌设备一套；</w:t>
      </w:r>
    </w:p>
    <w:p w:rsidR="00D9236E" w:rsidRDefault="00D9236E" w:rsidP="00321AC9">
      <w:pPr>
        <w:spacing w:line="360" w:lineRule="auto"/>
        <w:ind w:firstLineChars="196" w:firstLine="627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二、取消对</w:t>
      </w:r>
      <w:proofErr w:type="gramStart"/>
      <w:r>
        <w:rPr>
          <w:rFonts w:asciiTheme="minorEastAsia" w:hAnsiTheme="minorEastAsia" w:hint="eastAsia"/>
          <w:sz w:val="32"/>
          <w:szCs w:val="32"/>
        </w:rPr>
        <w:t>稳定土</w:t>
      </w:r>
      <w:proofErr w:type="gramEnd"/>
      <w:r>
        <w:rPr>
          <w:rFonts w:asciiTheme="minorEastAsia" w:hAnsiTheme="minorEastAsia" w:hint="eastAsia"/>
          <w:sz w:val="32"/>
          <w:szCs w:val="32"/>
        </w:rPr>
        <w:t>拌和设备的采购；</w:t>
      </w:r>
    </w:p>
    <w:p w:rsidR="00321AC9" w:rsidRPr="00321AC9" w:rsidRDefault="00D9236E" w:rsidP="00321AC9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三、</w:t>
      </w:r>
      <w:r w:rsidR="00321AC9">
        <w:rPr>
          <w:rFonts w:asciiTheme="minorEastAsia" w:hAnsiTheme="minorEastAsia" w:hint="eastAsia"/>
          <w:sz w:val="32"/>
          <w:szCs w:val="32"/>
        </w:rPr>
        <w:t>将第二章投标人须知第四条开标与评标第（二）项评标第7款“</w:t>
      </w:r>
      <w:r w:rsidR="00321AC9" w:rsidRPr="00321AC9">
        <w:rPr>
          <w:rFonts w:asciiTheme="minorEastAsia" w:hAnsiTheme="minorEastAsia"/>
          <w:sz w:val="32"/>
          <w:szCs w:val="32"/>
        </w:rPr>
        <w:t>评标细则及标准</w:t>
      </w:r>
      <w:r w:rsidR="00321AC9">
        <w:rPr>
          <w:rFonts w:asciiTheme="minorEastAsia" w:hAnsiTheme="minorEastAsia" w:hint="eastAsia"/>
          <w:sz w:val="32"/>
          <w:szCs w:val="32"/>
        </w:rPr>
        <w:t>”修改为：</w:t>
      </w:r>
    </w:p>
    <w:p w:rsidR="00321AC9" w:rsidRPr="00321AC9" w:rsidRDefault="00321AC9" w:rsidP="00321AC9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321AC9">
        <w:rPr>
          <w:rFonts w:asciiTheme="minorEastAsia" w:hAnsiTheme="minorEastAsia" w:hint="eastAsia"/>
          <w:sz w:val="32"/>
          <w:szCs w:val="32"/>
        </w:rPr>
        <w:t>（1）评标委员会</w:t>
      </w:r>
      <w:r w:rsidRPr="00321AC9">
        <w:rPr>
          <w:rFonts w:asciiTheme="minorEastAsia" w:hAnsiTheme="minorEastAsia"/>
          <w:sz w:val="32"/>
          <w:szCs w:val="32"/>
        </w:rPr>
        <w:t>只对通过</w:t>
      </w:r>
      <w:r w:rsidRPr="00321AC9">
        <w:rPr>
          <w:rFonts w:asciiTheme="minorEastAsia" w:hAnsiTheme="minorEastAsia" w:hint="eastAsia"/>
          <w:sz w:val="32"/>
          <w:szCs w:val="32"/>
        </w:rPr>
        <w:t>资格审</w:t>
      </w:r>
      <w:r w:rsidRPr="00321AC9">
        <w:rPr>
          <w:rFonts w:asciiTheme="minorEastAsia" w:hAnsiTheme="minorEastAsia"/>
          <w:sz w:val="32"/>
          <w:szCs w:val="32"/>
        </w:rPr>
        <w:t xml:space="preserve">查的投标文件，根据招标文件的要求采用相同的评标程序、评分办法及标准进行评价和比较。 </w:t>
      </w:r>
    </w:p>
    <w:p w:rsidR="00321AC9" w:rsidRPr="00321AC9" w:rsidRDefault="00321AC9" w:rsidP="00321AC9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321AC9">
        <w:rPr>
          <w:rFonts w:asciiTheme="minorEastAsia" w:hAnsiTheme="minorEastAsia" w:hint="eastAsia"/>
          <w:sz w:val="32"/>
          <w:szCs w:val="32"/>
        </w:rPr>
        <w:t>（2）</w:t>
      </w:r>
      <w:r w:rsidRPr="00321AC9">
        <w:rPr>
          <w:rFonts w:asciiTheme="minorEastAsia" w:hAnsiTheme="minorEastAsia"/>
          <w:sz w:val="32"/>
          <w:szCs w:val="32"/>
        </w:rPr>
        <w:t xml:space="preserve">本次综合评分的因素是：详见“评分明细表”。 </w:t>
      </w:r>
    </w:p>
    <w:p w:rsidR="00321AC9" w:rsidRPr="00321AC9" w:rsidRDefault="00321AC9" w:rsidP="00321AC9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（3）</w:t>
      </w:r>
      <w:r w:rsidRPr="00321AC9">
        <w:rPr>
          <w:rFonts w:asciiTheme="minorEastAsia" w:hAnsiTheme="minorEastAsia"/>
          <w:sz w:val="32"/>
          <w:szCs w:val="32"/>
        </w:rPr>
        <w:t>评分明细表</w:t>
      </w:r>
      <w:r>
        <w:rPr>
          <w:rFonts w:asciiTheme="minorEastAsia" w:hAnsiTheme="minorEastAsia" w:hint="eastAsia"/>
          <w:sz w:val="32"/>
          <w:szCs w:val="32"/>
        </w:rPr>
        <w:t>：</w:t>
      </w:r>
    </w:p>
    <w:tbl>
      <w:tblPr>
        <w:tblStyle w:val="a3"/>
        <w:tblW w:w="9271" w:type="dxa"/>
        <w:jc w:val="center"/>
        <w:tblLayout w:type="fixed"/>
        <w:tblLook w:val="04A0"/>
      </w:tblPr>
      <w:tblGrid>
        <w:gridCol w:w="610"/>
        <w:gridCol w:w="1478"/>
        <w:gridCol w:w="629"/>
        <w:gridCol w:w="3429"/>
        <w:gridCol w:w="3125"/>
      </w:tblGrid>
      <w:tr w:rsidR="00321AC9" w:rsidTr="00C1004B">
        <w:trPr>
          <w:jc w:val="center"/>
        </w:trPr>
        <w:tc>
          <w:tcPr>
            <w:tcW w:w="610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478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评分因素</w:t>
            </w:r>
          </w:p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及权重</w:t>
            </w:r>
          </w:p>
        </w:tc>
        <w:tc>
          <w:tcPr>
            <w:tcW w:w="629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3429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3125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说明</w:t>
            </w:r>
          </w:p>
        </w:tc>
      </w:tr>
      <w:tr w:rsidR="00321AC9" w:rsidTr="00C1004B">
        <w:trPr>
          <w:jc w:val="center"/>
        </w:trPr>
        <w:tc>
          <w:tcPr>
            <w:tcW w:w="610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8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报价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629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429" w:type="dxa"/>
          </w:tcPr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以本次有效的最低报价为基准价，报价得分=(基准价／报价)×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60；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2、报价高于控制价，作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废标处理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125" w:type="dxa"/>
          </w:tcPr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小数点后保留2位数，小数点后第3位四舍五入。</w:t>
            </w:r>
          </w:p>
        </w:tc>
      </w:tr>
      <w:tr w:rsidR="00321AC9" w:rsidTr="00C1004B">
        <w:trPr>
          <w:jc w:val="center"/>
        </w:trPr>
        <w:tc>
          <w:tcPr>
            <w:tcW w:w="610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技术参数</w:t>
            </w:r>
          </w:p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与指标5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9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29" w:type="dxa"/>
          </w:tcPr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1、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投标产品技术指标和配置完全符合招标文件参数要求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没有负偏离得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分；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2、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带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★</w:t>
            </w:r>
            <w:proofErr w:type="gramStart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号项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不</w:t>
            </w:r>
            <w:proofErr w:type="gramEnd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允许负偏离，如有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作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废标处理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3、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非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★</w:t>
            </w:r>
            <w:proofErr w:type="gramStart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号项有</w:t>
            </w:r>
            <w:proofErr w:type="gramEnd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负偏离的每一项扣2分，扣完为止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125" w:type="dxa"/>
            <w:vAlign w:val="center"/>
          </w:tcPr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该项综合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评定分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最高的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得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，其他的按实际分值评定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21AC9" w:rsidTr="00C1004B">
        <w:trPr>
          <w:jc w:val="center"/>
        </w:trPr>
        <w:tc>
          <w:tcPr>
            <w:tcW w:w="610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8" w:type="dxa"/>
            <w:vAlign w:val="center"/>
          </w:tcPr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交货与安装、调试、技术培训5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9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29" w:type="dxa"/>
          </w:tcPr>
          <w:p w:rsidR="00321AC9" w:rsidRDefault="00321AC9" w:rsidP="00C1004B">
            <w:pPr>
              <w:pStyle w:val="a7"/>
              <w:spacing w:before="0" w:beforeAutospacing="0" w:after="0" w:afterAutospacing="0" w:line="440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1、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合同签订后7日内设备送到施工现场；</w:t>
            </w:r>
          </w:p>
          <w:p w:rsidR="00321AC9" w:rsidRDefault="00321AC9" w:rsidP="00C1004B">
            <w:pPr>
              <w:pStyle w:val="a7"/>
              <w:spacing w:before="0" w:beforeAutospacing="0" w:after="0" w:afterAutospacing="0" w:line="440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 xml:space="preserve">2、验收合格后10日内完成安装调试和培训工作； 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3、负责设备安装、调试、技术培训指导；</w:t>
            </w:r>
          </w:p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以上三项评分标准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不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允许负偏离，如有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作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废标处理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125" w:type="dxa"/>
            <w:vAlign w:val="center"/>
          </w:tcPr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小数点后保留2位数，小数点后第3位四舍五入。</w:t>
            </w:r>
          </w:p>
        </w:tc>
      </w:tr>
      <w:tr w:rsidR="00321AC9" w:rsidTr="00C1004B">
        <w:trPr>
          <w:jc w:val="center"/>
        </w:trPr>
        <w:tc>
          <w:tcPr>
            <w:tcW w:w="610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8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售后服务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9" w:type="dxa"/>
            <w:vAlign w:val="center"/>
          </w:tcPr>
          <w:p w:rsidR="00321AC9" w:rsidRDefault="00321AC9" w:rsidP="00C1004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29" w:type="dxa"/>
          </w:tcPr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1、整套设备保修1年（易损件及电器元件除外）；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2、1年内非人为因素的设备故障负责免费维修及更换零部件；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3、配置易损件及电器元件，及时提供正常易损件及附件；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4、故障报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修通知后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小时内</w:t>
            </w:r>
            <w:proofErr w:type="gramStart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作出</w:t>
            </w:r>
            <w:proofErr w:type="gramEnd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响应，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小时内赶到现场，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48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小时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内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修复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5、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售后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免费移站服务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及再次安装；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6、免费提供建站前基础规划和基础施工及技术指导；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7、技术人员保证有2人及以上在设备磨合期内全程陪同监视，直至设备正常运行和顺畅生产；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8、提供终身售后服务；</w:t>
            </w:r>
          </w:p>
          <w:p w:rsidR="00321AC9" w:rsidRDefault="00321AC9" w:rsidP="00C1004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9、在雅安市行政区域内有固定的产品代理、售后服务网点或场所。</w:t>
            </w:r>
          </w:p>
        </w:tc>
        <w:tc>
          <w:tcPr>
            <w:tcW w:w="3125" w:type="dxa"/>
            <w:vAlign w:val="center"/>
          </w:tcPr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1、9项评分标准不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允许负偏离，如有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作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废标处理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2、1～9项指标达到基本标准共得20分；</w:t>
            </w:r>
          </w:p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3、第1、2项每增加半年各加0.2分，最多加1分；</w:t>
            </w:r>
          </w:p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4、第4项故障报修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赶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到现场时间每缩短1小时加0.2分，最多加1分；修复时间每缩短8小时加0.5分，最多加2分；</w:t>
            </w:r>
          </w:p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5、第5项每提供1年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售后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免费移站服务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及再次安装加2分，最多加6分；</w:t>
            </w:r>
          </w:p>
          <w:p w:rsidR="00321AC9" w:rsidRDefault="00321AC9" w:rsidP="00C1004B">
            <w:pPr>
              <w:widowControl/>
              <w:spacing w:line="40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6、最终评分以最高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分作为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基准分，其他投标人得分=（实得分/基准分）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×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30；</w:t>
            </w:r>
          </w:p>
          <w:p w:rsidR="00321AC9" w:rsidRDefault="00321AC9" w:rsidP="00C1004B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7、小数点后保留2位数，小数点后第3位四舍五入。</w:t>
            </w:r>
          </w:p>
        </w:tc>
      </w:tr>
    </w:tbl>
    <w:p w:rsidR="00D9236E" w:rsidRPr="00D9236E" w:rsidRDefault="00D9236E" w:rsidP="00321AC9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四、投标</w:t>
      </w:r>
      <w:r w:rsidR="00321AC9">
        <w:rPr>
          <w:rFonts w:asciiTheme="minorEastAsia" w:hAnsiTheme="minorEastAsia" w:hint="eastAsia"/>
          <w:sz w:val="32"/>
          <w:szCs w:val="32"/>
        </w:rPr>
        <w:t>保证金缴纳时间顺延至5月9日17时00分，投标</w:t>
      </w:r>
      <w:r>
        <w:rPr>
          <w:rFonts w:asciiTheme="minorEastAsia" w:hAnsiTheme="minorEastAsia" w:hint="eastAsia"/>
          <w:sz w:val="32"/>
          <w:szCs w:val="32"/>
        </w:rPr>
        <w:t>文件递交截止时间和开标时间顺延至5月</w:t>
      </w:r>
      <w:r w:rsidR="007E39F9">
        <w:rPr>
          <w:rFonts w:asciiTheme="minorEastAsia" w:hAnsiTheme="minorEastAsia" w:hint="eastAsia"/>
          <w:sz w:val="32"/>
          <w:szCs w:val="32"/>
        </w:rPr>
        <w:t>10</w:t>
      </w:r>
      <w:r>
        <w:rPr>
          <w:rFonts w:asciiTheme="minorEastAsia" w:hAnsiTheme="minorEastAsia" w:hint="eastAsia"/>
          <w:sz w:val="32"/>
          <w:szCs w:val="32"/>
        </w:rPr>
        <w:t>日10时00分。</w:t>
      </w:r>
    </w:p>
    <w:p w:rsidR="00BF5C3B" w:rsidRPr="00321AC9" w:rsidRDefault="00BF5C3B" w:rsidP="00E568DE">
      <w:pPr>
        <w:ind w:firstLine="405"/>
        <w:jc w:val="center"/>
        <w:rPr>
          <w:rFonts w:asciiTheme="minorEastAsia" w:hAnsiTheme="minorEastAsia"/>
          <w:sz w:val="32"/>
          <w:szCs w:val="32"/>
        </w:rPr>
      </w:pPr>
    </w:p>
    <w:p w:rsidR="00D9236E" w:rsidRPr="00D9236E" w:rsidRDefault="00D9236E" w:rsidP="00E568DE">
      <w:pPr>
        <w:ind w:firstLine="405"/>
        <w:jc w:val="center"/>
        <w:rPr>
          <w:rFonts w:asciiTheme="minorEastAsia" w:hAnsiTheme="minorEastAsia"/>
          <w:sz w:val="32"/>
          <w:szCs w:val="32"/>
        </w:rPr>
      </w:pPr>
    </w:p>
    <w:p w:rsidR="00E568DE" w:rsidRPr="001120A9" w:rsidRDefault="00E568DE" w:rsidP="00E568DE">
      <w:pPr>
        <w:ind w:firstLine="405"/>
        <w:jc w:val="center"/>
        <w:rPr>
          <w:rFonts w:asciiTheme="minorEastAsia" w:hAnsiTheme="minorEastAsia"/>
          <w:sz w:val="32"/>
          <w:szCs w:val="32"/>
        </w:rPr>
      </w:pPr>
      <w:proofErr w:type="gramStart"/>
      <w:r w:rsidRPr="001120A9">
        <w:rPr>
          <w:rFonts w:asciiTheme="minorEastAsia" w:hAnsiTheme="minorEastAsia" w:hint="eastAsia"/>
          <w:sz w:val="32"/>
          <w:szCs w:val="32"/>
        </w:rPr>
        <w:t>雅安交建集团</w:t>
      </w:r>
      <w:proofErr w:type="gramEnd"/>
      <w:r w:rsidRPr="001120A9">
        <w:rPr>
          <w:rFonts w:asciiTheme="minorEastAsia" w:hAnsiTheme="minorEastAsia" w:hint="eastAsia"/>
          <w:sz w:val="32"/>
          <w:szCs w:val="32"/>
        </w:rPr>
        <w:t>路桥有限责任公司</w:t>
      </w:r>
    </w:p>
    <w:p w:rsidR="00E568DE" w:rsidRPr="001120A9" w:rsidRDefault="00E568DE" w:rsidP="00E568DE">
      <w:pPr>
        <w:ind w:firstLine="405"/>
        <w:jc w:val="center"/>
        <w:rPr>
          <w:rFonts w:asciiTheme="minorEastAsia" w:hAnsiTheme="minorEastAsia"/>
          <w:sz w:val="32"/>
          <w:szCs w:val="32"/>
        </w:rPr>
      </w:pPr>
    </w:p>
    <w:p w:rsidR="00E568DE" w:rsidRPr="001120A9" w:rsidRDefault="00E568DE" w:rsidP="00E568DE">
      <w:pPr>
        <w:ind w:firstLine="405"/>
        <w:jc w:val="center"/>
        <w:rPr>
          <w:rFonts w:asciiTheme="minorEastAsia" w:hAnsiTheme="minorEastAsia"/>
          <w:sz w:val="32"/>
          <w:szCs w:val="32"/>
        </w:rPr>
      </w:pPr>
      <w:r w:rsidRPr="001120A9">
        <w:rPr>
          <w:rFonts w:asciiTheme="minorEastAsia" w:hAnsiTheme="minorEastAsia" w:hint="eastAsia"/>
          <w:sz w:val="32"/>
          <w:szCs w:val="32"/>
        </w:rPr>
        <w:t>二O一九年</w:t>
      </w:r>
      <w:r w:rsidR="0024579B" w:rsidRPr="001120A9">
        <w:rPr>
          <w:rFonts w:asciiTheme="minorEastAsia" w:hAnsiTheme="minorEastAsia" w:hint="eastAsia"/>
          <w:sz w:val="32"/>
          <w:szCs w:val="32"/>
        </w:rPr>
        <w:t>五</w:t>
      </w:r>
      <w:r w:rsidRPr="001120A9">
        <w:rPr>
          <w:rFonts w:asciiTheme="minorEastAsia" w:hAnsiTheme="minorEastAsia" w:hint="eastAsia"/>
          <w:sz w:val="32"/>
          <w:szCs w:val="32"/>
        </w:rPr>
        <w:t>月</w:t>
      </w:r>
      <w:r w:rsidR="00321AC9">
        <w:rPr>
          <w:rFonts w:asciiTheme="minorEastAsia" w:hAnsiTheme="minorEastAsia" w:hint="eastAsia"/>
          <w:sz w:val="32"/>
          <w:szCs w:val="32"/>
        </w:rPr>
        <w:t>六</w:t>
      </w:r>
      <w:r w:rsidRPr="001120A9">
        <w:rPr>
          <w:rFonts w:asciiTheme="minorEastAsia" w:hAnsiTheme="minorEastAsia" w:hint="eastAsia"/>
          <w:sz w:val="32"/>
          <w:szCs w:val="32"/>
        </w:rPr>
        <w:t>日</w:t>
      </w:r>
    </w:p>
    <w:p w:rsidR="00E568DE" w:rsidRPr="001120A9" w:rsidRDefault="00E568DE">
      <w:pPr>
        <w:rPr>
          <w:rFonts w:asciiTheme="minorEastAsia" w:hAnsiTheme="minorEastAsia"/>
          <w:sz w:val="32"/>
          <w:szCs w:val="32"/>
        </w:rPr>
      </w:pPr>
    </w:p>
    <w:sectPr w:rsidR="00E568DE" w:rsidRPr="001120A9" w:rsidSect="00E568DE">
      <w:pgSz w:w="11906" w:h="16838"/>
      <w:pgMar w:top="1588" w:right="1247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81" w:rsidRDefault="00CF0681" w:rsidP="00CF0681">
      <w:r>
        <w:separator/>
      </w:r>
    </w:p>
  </w:endnote>
  <w:endnote w:type="continuationSeparator" w:id="0">
    <w:p w:rsidR="00CF0681" w:rsidRDefault="00CF0681" w:rsidP="00CF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81" w:rsidRDefault="00CF0681" w:rsidP="00CF0681">
      <w:r>
        <w:separator/>
      </w:r>
    </w:p>
  </w:footnote>
  <w:footnote w:type="continuationSeparator" w:id="0">
    <w:p w:rsidR="00CF0681" w:rsidRDefault="00CF0681" w:rsidP="00CF0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8DE"/>
    <w:rsid w:val="000234A2"/>
    <w:rsid w:val="00045209"/>
    <w:rsid w:val="000B0C7E"/>
    <w:rsid w:val="001120A9"/>
    <w:rsid w:val="0024579B"/>
    <w:rsid w:val="00321AC9"/>
    <w:rsid w:val="00387F3D"/>
    <w:rsid w:val="007037B1"/>
    <w:rsid w:val="007039C9"/>
    <w:rsid w:val="00790340"/>
    <w:rsid w:val="007E39F9"/>
    <w:rsid w:val="008A275C"/>
    <w:rsid w:val="00A03816"/>
    <w:rsid w:val="00B56E59"/>
    <w:rsid w:val="00BF5C3B"/>
    <w:rsid w:val="00CF0681"/>
    <w:rsid w:val="00D079A1"/>
    <w:rsid w:val="00D31714"/>
    <w:rsid w:val="00D9236E"/>
    <w:rsid w:val="00E347E2"/>
    <w:rsid w:val="00E568DE"/>
    <w:rsid w:val="00ED490E"/>
    <w:rsid w:val="00EF2B27"/>
    <w:rsid w:val="00EF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68D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0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0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0681"/>
    <w:rPr>
      <w:sz w:val="18"/>
      <w:szCs w:val="18"/>
    </w:rPr>
  </w:style>
  <w:style w:type="paragraph" w:styleId="a6">
    <w:name w:val="List Paragraph"/>
    <w:basedOn w:val="a"/>
    <w:uiPriority w:val="34"/>
    <w:qFormat/>
    <w:rsid w:val="00D9236E"/>
    <w:pPr>
      <w:ind w:firstLineChars="200" w:firstLine="420"/>
    </w:pPr>
  </w:style>
  <w:style w:type="paragraph" w:styleId="a7">
    <w:name w:val="Normal (Web)"/>
    <w:basedOn w:val="a"/>
    <w:qFormat/>
    <w:rsid w:val="00321AC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12</cp:revision>
  <cp:lastPrinted>2019-05-05T09:32:00Z</cp:lastPrinted>
  <dcterms:created xsi:type="dcterms:W3CDTF">2019-04-29T14:04:00Z</dcterms:created>
  <dcterms:modified xsi:type="dcterms:W3CDTF">2019-05-06T06:15:00Z</dcterms:modified>
</cp:coreProperties>
</file>